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0" w:type="pct"/>
        <w:tblLook w:val="01E0" w:firstRow="1" w:lastRow="1" w:firstColumn="1" w:lastColumn="1" w:noHBand="0" w:noVBand="0"/>
      </w:tblPr>
      <w:tblGrid>
        <w:gridCol w:w="6240"/>
        <w:gridCol w:w="9199"/>
      </w:tblGrid>
      <w:tr w:rsidR="000E1768" w:rsidRPr="000B3532" w14:paraId="7A3CD7F5" w14:textId="77777777" w:rsidTr="000B3532">
        <w:tc>
          <w:tcPr>
            <w:tcW w:w="2021" w:type="pct"/>
            <w:shd w:val="clear" w:color="auto" w:fill="auto"/>
          </w:tcPr>
          <w:p w14:paraId="350E3A0F" w14:textId="77777777" w:rsidR="000B3532" w:rsidRPr="000B3532" w:rsidRDefault="000B3532" w:rsidP="000B3532">
            <w:pPr>
              <w:widowControl/>
              <w:ind w:hanging="57"/>
              <w:jc w:val="center"/>
              <w:rPr>
                <w:rFonts w:ascii="Times New Roman" w:eastAsia="Batang" w:hAnsi="Times New Roman" w:cs="Times New Roman"/>
                <w:bCs/>
                <w:noProof/>
                <w:color w:val="auto"/>
                <w:sz w:val="26"/>
                <w:szCs w:val="26"/>
                <w:lang w:val="en-US" w:eastAsia="en-US"/>
              </w:rPr>
            </w:pPr>
            <w:r w:rsidRPr="000B3532">
              <w:rPr>
                <w:rFonts w:ascii="Times New Roman" w:eastAsia="Batang" w:hAnsi="Times New Roman" w:cs="Times New Roman"/>
                <w:bCs/>
                <w:noProof/>
                <w:color w:val="auto"/>
                <w:sz w:val="26"/>
                <w:szCs w:val="26"/>
                <w:lang w:val="en-US" w:eastAsia="en-US"/>
              </w:rPr>
              <w:t>UBND TỈNH LẠNG SƠN</w:t>
            </w:r>
          </w:p>
          <w:p w14:paraId="4C681FFB" w14:textId="1C5E61F2" w:rsidR="000E1768" w:rsidRPr="000B3532" w:rsidRDefault="00BA7716" w:rsidP="00FC6D9F">
            <w:pPr>
              <w:jc w:val="center"/>
              <w:rPr>
                <w:rFonts w:ascii="Times New Roman" w:eastAsia="Yu Gothic" w:hAnsi="Times New Roman" w:cs="Times New Roman"/>
                <w:b/>
                <w:sz w:val="26"/>
                <w:szCs w:val="26"/>
              </w:rPr>
            </w:pPr>
            <w:r>
              <w:rPr>
                <w:rFonts w:ascii="Times New Roman" w:eastAsia="Batang"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21E023D0" wp14:editId="49DE6AB1">
                      <wp:simplePos x="0" y="0"/>
                      <wp:positionH relativeFrom="column">
                        <wp:posOffset>1575435</wp:posOffset>
                      </wp:positionH>
                      <wp:positionV relativeFrom="paragraph">
                        <wp:posOffset>241300</wp:posOffset>
                      </wp:positionV>
                      <wp:extent cx="533400" cy="9525"/>
                      <wp:effectExtent l="0" t="0" r="19050" b="28575"/>
                      <wp:wrapNone/>
                      <wp:docPr id="1366876014" name="Straight Connector 1"/>
                      <wp:cNvGraphicFramePr/>
                      <a:graphic xmlns:a="http://schemas.openxmlformats.org/drawingml/2006/main">
                        <a:graphicData uri="http://schemas.microsoft.com/office/word/2010/wordprocessingShape">
                          <wps:wsp>
                            <wps:cNvCnPr/>
                            <wps:spPr>
                              <a:xfrm flipV="1">
                                <a:off x="0" y="0"/>
                                <a:ext cx="53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C375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05pt,19pt" to="166.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" strokecolor="black [3200]" strokeweight=".5pt">
                      <v:stroke joinstyle="miter"/>
                    </v:line>
                  </w:pict>
                </mc:Fallback>
              </mc:AlternateContent>
            </w:r>
            <w:r w:rsidR="000B3532" w:rsidRPr="000B3532">
              <w:rPr>
                <w:rFonts w:ascii="Times New Roman" w:eastAsia="Batang" w:hAnsi="Times New Roman" w:cs="Times New Roman"/>
                <w:b/>
                <w:noProof/>
                <w:color w:val="auto"/>
                <w:sz w:val="26"/>
                <w:szCs w:val="26"/>
                <w:lang w:val="en-US" w:eastAsia="en-US"/>
              </w:rPr>
              <w:t xml:space="preserve">SỞ </w:t>
            </w:r>
            <w:r w:rsidR="00FC6D9F">
              <w:rPr>
                <w:rFonts w:ascii="Times New Roman" w:eastAsia="Batang" w:hAnsi="Times New Roman" w:cs="Times New Roman"/>
                <w:b/>
                <w:noProof/>
                <w:color w:val="auto"/>
                <w:sz w:val="26"/>
                <w:szCs w:val="26"/>
                <w:lang w:val="en-US" w:eastAsia="en-US"/>
              </w:rPr>
              <w:t>TƯ PHÁP</w:t>
            </w:r>
            <w:r w:rsidR="000E1768" w:rsidRPr="000B3532">
              <w:rPr>
                <w:rFonts w:ascii="Times New Roman" w:eastAsia="Yu Gothic" w:hAnsi="Times New Roman" w:cs="Times New Roman"/>
                <w:b/>
                <w:sz w:val="26"/>
                <w:szCs w:val="26"/>
              </w:rPr>
              <w:br/>
            </w:r>
          </w:p>
        </w:tc>
        <w:tc>
          <w:tcPr>
            <w:tcW w:w="2979" w:type="pct"/>
            <w:shd w:val="clear" w:color="auto" w:fill="auto"/>
          </w:tcPr>
          <w:p w14:paraId="519FCB08" w14:textId="68D65C3F" w:rsidR="000E1768" w:rsidRPr="000B3532" w:rsidRDefault="004F7B7F" w:rsidP="000B3532">
            <w:pPr>
              <w:jc w:val="center"/>
              <w:rPr>
                <w:rFonts w:ascii="Times New Roman" w:eastAsia="Yu Gothic" w:hAnsi="Times New Roman" w:cs="Times New Roman"/>
                <w:b/>
                <w:sz w:val="26"/>
                <w:szCs w:val="26"/>
              </w:rPr>
            </w:pPr>
            <w:r>
              <w:rPr>
                <w:rFonts w:ascii="Times New Roman" w:eastAsia="Yu Gothic"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029DD42D" wp14:editId="44C47323">
                      <wp:simplePos x="0" y="0"/>
                      <wp:positionH relativeFrom="column">
                        <wp:posOffset>1842135</wp:posOffset>
                      </wp:positionH>
                      <wp:positionV relativeFrom="paragraph">
                        <wp:posOffset>459740</wp:posOffset>
                      </wp:positionV>
                      <wp:extent cx="2019300" cy="19050"/>
                      <wp:effectExtent l="0" t="0" r="19050" b="19050"/>
                      <wp:wrapNone/>
                      <wp:docPr id="1825415317" name="Straight Connector 3"/>
                      <wp:cNvGraphicFramePr/>
                      <a:graphic xmlns:a="http://schemas.openxmlformats.org/drawingml/2006/main">
                        <a:graphicData uri="http://schemas.microsoft.com/office/word/2010/wordprocessingShape">
                          <wps:wsp>
                            <wps:cNvCnPr/>
                            <wps:spPr>
                              <a:xfrm>
                                <a:off x="0" y="0"/>
                                <a:ext cx="2019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C445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36.2pt" to="304.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" strokecolor="black [3200]" strokeweight=".5pt">
                      <v:stroke joinstyle="miter"/>
                    </v:line>
                  </w:pict>
                </mc:Fallback>
              </mc:AlternateContent>
            </w:r>
            <w:r w:rsidR="000E1768" w:rsidRPr="000B3532">
              <w:rPr>
                <w:rFonts w:ascii="Times New Roman" w:eastAsia="Yu Gothic" w:hAnsi="Times New Roman" w:cs="Times New Roman"/>
                <w:b/>
                <w:sz w:val="26"/>
                <w:szCs w:val="26"/>
              </w:rPr>
              <w:t>CỘNG HÒA XÃ HỘI CHỦ NGHĨA VIỆT NAM</w:t>
            </w:r>
            <w:r w:rsidR="000E1768" w:rsidRPr="000B3532">
              <w:rPr>
                <w:rFonts w:ascii="Times New Roman" w:eastAsia="Yu Gothic" w:hAnsi="Times New Roman" w:cs="Times New Roman"/>
                <w:b/>
                <w:sz w:val="26"/>
                <w:szCs w:val="26"/>
              </w:rPr>
              <w:br/>
            </w:r>
            <w:r w:rsidR="000E1768" w:rsidRPr="004F7B7F">
              <w:rPr>
                <w:rFonts w:ascii="Times New Roman" w:eastAsia="Yu Gothic" w:hAnsi="Times New Roman" w:cs="Times New Roman"/>
                <w:b/>
                <w:sz w:val="28"/>
                <w:szCs w:val="28"/>
              </w:rPr>
              <w:t>Độc lập - Tự do - Hạnh phúc</w:t>
            </w:r>
            <w:r w:rsidR="000E1768" w:rsidRPr="000B3532">
              <w:rPr>
                <w:rFonts w:ascii="Times New Roman" w:eastAsia="Yu Gothic" w:hAnsi="Times New Roman" w:cs="Times New Roman"/>
                <w:b/>
                <w:sz w:val="26"/>
                <w:szCs w:val="26"/>
              </w:rPr>
              <w:t xml:space="preserve"> </w:t>
            </w:r>
            <w:r w:rsidR="000E1768" w:rsidRPr="000B3532">
              <w:rPr>
                <w:rFonts w:ascii="Times New Roman" w:eastAsia="Yu Gothic" w:hAnsi="Times New Roman" w:cs="Times New Roman"/>
                <w:b/>
                <w:sz w:val="26"/>
                <w:szCs w:val="26"/>
              </w:rPr>
              <w:br/>
            </w:r>
          </w:p>
        </w:tc>
      </w:tr>
      <w:tr w:rsidR="000E1768" w:rsidRPr="000B3532" w14:paraId="34915F41" w14:textId="77777777" w:rsidTr="00BA7716">
        <w:trPr>
          <w:trHeight w:val="366"/>
        </w:trPr>
        <w:tc>
          <w:tcPr>
            <w:tcW w:w="2021" w:type="pct"/>
            <w:shd w:val="clear" w:color="auto" w:fill="auto"/>
          </w:tcPr>
          <w:p w14:paraId="0B35BAFB" w14:textId="77777777" w:rsidR="000E1768" w:rsidRPr="000B3532" w:rsidRDefault="000E1768" w:rsidP="000B3532">
            <w:pPr>
              <w:jc w:val="center"/>
              <w:rPr>
                <w:rFonts w:ascii="Times New Roman" w:eastAsia="Yu Gothic" w:hAnsi="Times New Roman" w:cs="Times New Roman"/>
                <w:sz w:val="26"/>
                <w:szCs w:val="26"/>
              </w:rPr>
            </w:pPr>
          </w:p>
        </w:tc>
        <w:tc>
          <w:tcPr>
            <w:tcW w:w="2979" w:type="pct"/>
            <w:shd w:val="clear" w:color="auto" w:fill="auto"/>
          </w:tcPr>
          <w:p w14:paraId="2752F518" w14:textId="559A30A8" w:rsidR="000E1768" w:rsidRPr="000B3532" w:rsidRDefault="000B3532" w:rsidP="007C51CB">
            <w:pPr>
              <w:jc w:val="center"/>
              <w:rPr>
                <w:rFonts w:ascii="Times New Roman" w:eastAsia="Yu Gothic" w:hAnsi="Times New Roman" w:cs="Times New Roman"/>
                <w:i/>
                <w:sz w:val="26"/>
                <w:szCs w:val="26"/>
              </w:rPr>
            </w:pPr>
            <w:r w:rsidRPr="000B3532">
              <w:rPr>
                <w:rFonts w:ascii="Times New Roman" w:eastAsia="Yu Gothic" w:hAnsi="Times New Roman" w:cs="Times New Roman"/>
                <w:i/>
                <w:iCs/>
                <w:sz w:val="26"/>
                <w:szCs w:val="26"/>
              </w:rPr>
              <w:t>Lạng Sơn</w:t>
            </w:r>
            <w:r w:rsidR="000E1768" w:rsidRPr="000B3532">
              <w:rPr>
                <w:rFonts w:ascii="Times New Roman" w:eastAsia="Yu Gothic" w:hAnsi="Times New Roman" w:cs="Times New Roman"/>
                <w:i/>
                <w:iCs/>
                <w:sz w:val="26"/>
                <w:szCs w:val="26"/>
              </w:rPr>
              <w:t xml:space="preserve">, ngày </w:t>
            </w:r>
            <w:r w:rsidR="003B74D9" w:rsidRPr="007C51CB">
              <w:rPr>
                <w:rFonts w:ascii="Times New Roman" w:eastAsia="Yu Gothic" w:hAnsi="Times New Roman" w:cs="Times New Roman"/>
                <w:i/>
                <w:iCs/>
                <w:sz w:val="26"/>
                <w:szCs w:val="26"/>
              </w:rPr>
              <w:t xml:space="preserve"> </w:t>
            </w:r>
            <w:r w:rsidR="00FC6D9F">
              <w:rPr>
                <w:rFonts w:ascii="Times New Roman" w:eastAsia="Yu Gothic" w:hAnsi="Times New Roman" w:cs="Times New Roman"/>
                <w:i/>
                <w:iCs/>
                <w:sz w:val="26"/>
                <w:szCs w:val="26"/>
                <w:lang w:val="en-US"/>
              </w:rPr>
              <w:t xml:space="preserve">   </w:t>
            </w:r>
            <w:r w:rsidR="003B74D9" w:rsidRPr="007C51CB">
              <w:rPr>
                <w:rFonts w:ascii="Times New Roman" w:eastAsia="Yu Gothic" w:hAnsi="Times New Roman" w:cs="Times New Roman"/>
                <w:i/>
                <w:iCs/>
                <w:sz w:val="26"/>
                <w:szCs w:val="26"/>
              </w:rPr>
              <w:t xml:space="preserve"> </w:t>
            </w:r>
            <w:r w:rsidR="000E1768" w:rsidRPr="000B3532">
              <w:rPr>
                <w:rFonts w:ascii="Times New Roman" w:eastAsia="Yu Gothic" w:hAnsi="Times New Roman" w:cs="Times New Roman"/>
                <w:i/>
                <w:iCs/>
                <w:sz w:val="26"/>
                <w:szCs w:val="26"/>
              </w:rPr>
              <w:t xml:space="preserve"> tháng </w:t>
            </w:r>
            <w:r w:rsidR="00F74648">
              <w:rPr>
                <w:rFonts w:ascii="Times New Roman" w:eastAsia="Yu Gothic" w:hAnsi="Times New Roman" w:cs="Times New Roman"/>
                <w:i/>
                <w:iCs/>
                <w:sz w:val="26"/>
                <w:szCs w:val="26"/>
                <w:lang w:val="en-US"/>
              </w:rPr>
              <w:t>6</w:t>
            </w:r>
            <w:r w:rsidR="000E1768" w:rsidRPr="000B3532">
              <w:rPr>
                <w:rFonts w:ascii="Times New Roman" w:eastAsia="Yu Gothic" w:hAnsi="Times New Roman" w:cs="Times New Roman"/>
                <w:i/>
                <w:iCs/>
                <w:sz w:val="26"/>
                <w:szCs w:val="26"/>
              </w:rPr>
              <w:t xml:space="preserve"> năm </w:t>
            </w:r>
            <w:r w:rsidRPr="000B3532">
              <w:rPr>
                <w:rFonts w:ascii="Times New Roman" w:eastAsia="Yu Gothic" w:hAnsi="Times New Roman" w:cs="Times New Roman"/>
                <w:i/>
                <w:iCs/>
                <w:sz w:val="26"/>
                <w:szCs w:val="26"/>
              </w:rPr>
              <w:t>2025</w:t>
            </w:r>
          </w:p>
        </w:tc>
      </w:tr>
    </w:tbl>
    <w:p w14:paraId="6E5C88C3" w14:textId="77777777" w:rsidR="00162399" w:rsidRPr="00162399" w:rsidRDefault="00162399" w:rsidP="000B3532">
      <w:pPr>
        <w:jc w:val="center"/>
        <w:rPr>
          <w:rFonts w:ascii="Times New Roman" w:eastAsia="Yu Gothic" w:hAnsi="Times New Roman" w:cs="Times New Roman"/>
          <w:b/>
          <w:bCs/>
          <w:sz w:val="26"/>
          <w:szCs w:val="26"/>
        </w:rPr>
      </w:pPr>
    </w:p>
    <w:p w14:paraId="7C882A28" w14:textId="1634F040" w:rsidR="000B3532" w:rsidRPr="000B3532" w:rsidRDefault="000E1768" w:rsidP="001A7AEE">
      <w:pPr>
        <w:jc w:val="center"/>
        <w:rPr>
          <w:rFonts w:ascii="Times New Roman" w:eastAsia="Yu Gothic" w:hAnsi="Times New Roman" w:cs="Times New Roman"/>
          <w:b/>
          <w:bCs/>
          <w:sz w:val="26"/>
          <w:szCs w:val="26"/>
        </w:rPr>
      </w:pPr>
      <w:r w:rsidRPr="000B3532">
        <w:rPr>
          <w:rFonts w:ascii="Times New Roman" w:eastAsia="Yu Gothic" w:hAnsi="Times New Roman" w:cs="Times New Roman"/>
          <w:b/>
          <w:bCs/>
          <w:sz w:val="26"/>
          <w:szCs w:val="26"/>
        </w:rPr>
        <w:t>BẢN THUYẾT MINH NỘI DUNG DỰ THẢO</w:t>
      </w:r>
    </w:p>
    <w:p w14:paraId="4CAB4E53" w14:textId="77777777" w:rsidR="00F74648" w:rsidRPr="00F74648" w:rsidRDefault="00F74648" w:rsidP="00F74648">
      <w:pPr>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Nghị quyết về </w:t>
      </w:r>
      <w:r w:rsidRPr="00F74648">
        <w:rPr>
          <w:rFonts w:ascii="Times New Roman" w:hAnsi="Times New Roman" w:cs="Times New Roman"/>
          <w:b/>
          <w:sz w:val="26"/>
          <w:szCs w:val="26"/>
          <w:lang w:val="en-US"/>
        </w:rPr>
        <w:t xml:space="preserve">Về mức thu và tỷ lệ phần trăm (%) được trích để lại cho cơ </w:t>
      </w:r>
      <w:bookmarkStart w:id="0" w:name="_GoBack"/>
      <w:bookmarkEnd w:id="0"/>
      <w:r w:rsidRPr="00F74648">
        <w:rPr>
          <w:rFonts w:ascii="Times New Roman" w:hAnsi="Times New Roman" w:cs="Times New Roman"/>
          <w:b/>
          <w:sz w:val="26"/>
          <w:szCs w:val="26"/>
          <w:lang w:val="en-US"/>
        </w:rPr>
        <w:t>quan</w:t>
      </w:r>
    </w:p>
    <w:p w14:paraId="1257190D" w14:textId="77777777" w:rsidR="00F74648" w:rsidRDefault="00F74648" w:rsidP="00F74648">
      <w:pPr>
        <w:jc w:val="center"/>
        <w:rPr>
          <w:rFonts w:ascii="Times New Roman" w:hAnsi="Times New Roman" w:cs="Times New Roman"/>
          <w:b/>
          <w:sz w:val="26"/>
          <w:szCs w:val="26"/>
          <w:lang w:val="en-US"/>
        </w:rPr>
      </w:pPr>
      <w:r w:rsidRPr="00F74648">
        <w:rPr>
          <w:rFonts w:ascii="Times New Roman" w:hAnsi="Times New Roman" w:cs="Times New Roman"/>
          <w:b/>
          <w:sz w:val="26"/>
          <w:szCs w:val="26"/>
          <w:lang w:val="en-US"/>
        </w:rPr>
        <w:t>tổ chức thu lệ phí hộ tịch trên địa bàn tỉnh Lạng Sơn</w:t>
      </w:r>
    </w:p>
    <w:p w14:paraId="144F6ADD" w14:textId="3268BF3F" w:rsidR="00FC6D9F" w:rsidRPr="00F7486A" w:rsidRDefault="00FC6D9F" w:rsidP="00F74648">
      <w:pPr>
        <w:jc w:val="center"/>
        <w:rPr>
          <w:rFonts w:ascii="Times New Roman" w:hAnsi="Times New Roman" w:cs="Times New Roman"/>
          <w:b/>
          <w:sz w:val="26"/>
          <w:szCs w:val="26"/>
          <w:lang w:val="en-US"/>
        </w:rPr>
      </w:pPr>
      <w:r w:rsidRPr="00F7486A">
        <w:rPr>
          <w:rFonts w:ascii="Times New Roman" w:hAnsi="Times New Roman" w:cs="Times New Roman"/>
          <w:b/>
          <w:noProof/>
          <w:sz w:val="26"/>
          <w:szCs w:val="26"/>
          <w:lang w:val="en-US" w:eastAsia="en-US"/>
        </w:rPr>
        <w:drawing>
          <wp:inline distT="0" distB="0" distL="0" distR="0" wp14:anchorId="3A979705" wp14:editId="12FA358A">
            <wp:extent cx="956945"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6350"/>
                    </a:xfrm>
                    <a:prstGeom prst="rect">
                      <a:avLst/>
                    </a:prstGeom>
                    <a:noFill/>
                  </pic:spPr>
                </pic:pic>
              </a:graphicData>
            </a:graphic>
          </wp:inline>
        </w:drawing>
      </w:r>
    </w:p>
    <w:p w14:paraId="6F450CCC" w14:textId="77777777" w:rsidR="00FC6D9F" w:rsidRPr="00FC6D9F" w:rsidRDefault="00FC6D9F" w:rsidP="00FC6D9F">
      <w:pPr>
        <w:spacing w:before="120"/>
        <w:jc w:val="center"/>
        <w:rPr>
          <w:rFonts w:ascii="Times New Roman" w:eastAsia="Yu Gothic" w:hAnsi="Times New Roman" w:cs="Times New Roman"/>
          <w:b/>
          <w:bCs/>
          <w:sz w:val="26"/>
          <w:szCs w:val="26"/>
          <w:lang w:val="en-US"/>
        </w:rPr>
      </w:pPr>
    </w:p>
    <w:tbl>
      <w:tblPr>
        <w:tblOverlap w:val="never"/>
        <w:tblW w:w="5105"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851"/>
        <w:gridCol w:w="7228"/>
        <w:gridCol w:w="6805"/>
      </w:tblGrid>
      <w:tr w:rsidR="009B3FEE" w:rsidRPr="009B3FEE" w14:paraId="03D6BA56" w14:textId="77777777" w:rsidTr="009B3FEE">
        <w:trPr>
          <w:tblHeader/>
        </w:trPr>
        <w:tc>
          <w:tcPr>
            <w:tcW w:w="286" w:type="pct"/>
          </w:tcPr>
          <w:p w14:paraId="325A36CF" w14:textId="63576198" w:rsidR="00FF6F09" w:rsidRPr="009B3FEE" w:rsidRDefault="009B3FEE" w:rsidP="00F74648">
            <w:pPr>
              <w:jc w:val="center"/>
              <w:rPr>
                <w:rFonts w:ascii="Times New Roman" w:hAnsi="Times New Roman" w:cs="Times New Roman"/>
                <w:b/>
                <w:sz w:val="28"/>
                <w:szCs w:val="28"/>
                <w:lang w:val="en-US"/>
              </w:rPr>
            </w:pPr>
            <w:r>
              <w:rPr>
                <w:rFonts w:ascii="Times New Roman" w:hAnsi="Times New Roman" w:cs="Times New Roman"/>
                <w:b/>
                <w:sz w:val="28"/>
                <w:szCs w:val="28"/>
                <w:lang w:val="en-US"/>
              </w:rPr>
              <w:t>STT</w:t>
            </w:r>
          </w:p>
        </w:tc>
        <w:tc>
          <w:tcPr>
            <w:tcW w:w="2428" w:type="pct"/>
            <w:vAlign w:val="center"/>
          </w:tcPr>
          <w:p w14:paraId="447FBAF1" w14:textId="3FBF8B92" w:rsidR="00FF6F09" w:rsidRPr="009B3FEE" w:rsidRDefault="00FF6F09" w:rsidP="00F74648">
            <w:pPr>
              <w:jc w:val="center"/>
              <w:rPr>
                <w:rFonts w:ascii="Times New Roman" w:eastAsia="Yu Gothic" w:hAnsi="Times New Roman" w:cs="Times New Roman"/>
                <w:b/>
                <w:bCs/>
                <w:sz w:val="28"/>
                <w:szCs w:val="28"/>
                <w:lang w:val="en-US"/>
              </w:rPr>
            </w:pPr>
            <w:r w:rsidRPr="009B3FEE">
              <w:rPr>
                <w:rFonts w:ascii="Times New Roman" w:hAnsi="Times New Roman" w:cs="Times New Roman"/>
                <w:b/>
                <w:sz w:val="28"/>
                <w:szCs w:val="28"/>
              </w:rPr>
              <w:t xml:space="preserve">Dự thảo </w:t>
            </w:r>
          </w:p>
        </w:tc>
        <w:tc>
          <w:tcPr>
            <w:tcW w:w="2286" w:type="pct"/>
            <w:vAlign w:val="center"/>
          </w:tcPr>
          <w:p w14:paraId="04AD34FE" w14:textId="19204B68" w:rsidR="00FF6F09" w:rsidRPr="009B3FEE" w:rsidRDefault="00FF6F09" w:rsidP="001E7E92">
            <w:pPr>
              <w:jc w:val="center"/>
              <w:rPr>
                <w:rFonts w:ascii="Times New Roman" w:eastAsia="Yu Gothic" w:hAnsi="Times New Roman" w:cs="Times New Roman"/>
                <w:b/>
                <w:bCs/>
                <w:sz w:val="28"/>
                <w:szCs w:val="28"/>
              </w:rPr>
            </w:pPr>
            <w:r w:rsidRPr="009B3FEE">
              <w:rPr>
                <w:rFonts w:ascii="Times New Roman" w:hAnsi="Times New Roman" w:cs="Times New Roman"/>
                <w:b/>
                <w:sz w:val="28"/>
                <w:szCs w:val="28"/>
              </w:rPr>
              <w:t>Thuyết minh</w:t>
            </w:r>
          </w:p>
        </w:tc>
      </w:tr>
      <w:tr w:rsidR="009B3FEE" w:rsidRPr="009B3FEE" w14:paraId="63E225F5" w14:textId="77777777" w:rsidTr="009B3FEE">
        <w:tc>
          <w:tcPr>
            <w:tcW w:w="286" w:type="pct"/>
          </w:tcPr>
          <w:p w14:paraId="65FF2604" w14:textId="5FB2FF86" w:rsidR="009B3FEE" w:rsidRPr="009B3FEE" w:rsidRDefault="009B3FEE" w:rsidP="00F74648">
            <w:pPr>
              <w:ind w:left="145" w:right="130"/>
              <w:jc w:val="both"/>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2428" w:type="pct"/>
            <w:vAlign w:val="center"/>
          </w:tcPr>
          <w:p w14:paraId="0C308E0A" w14:textId="6D00DC68" w:rsidR="009B3FEE" w:rsidRPr="009B3FEE" w:rsidRDefault="009B3FEE" w:rsidP="00F74648">
            <w:pPr>
              <w:ind w:left="145" w:right="130"/>
              <w:jc w:val="both"/>
              <w:rPr>
                <w:rFonts w:ascii="Times New Roman" w:hAnsi="Times New Roman" w:cs="Times New Roman"/>
                <w:b/>
                <w:sz w:val="28"/>
                <w:szCs w:val="28"/>
                <w:lang w:val="en-US"/>
              </w:rPr>
            </w:pPr>
            <w:r w:rsidRPr="009B3FEE">
              <w:rPr>
                <w:rFonts w:ascii="Times New Roman" w:hAnsi="Times New Roman" w:cs="Times New Roman"/>
                <w:b/>
                <w:sz w:val="28"/>
                <w:szCs w:val="28"/>
              </w:rPr>
              <w:t>Điều 1. Phạm vi điều chỉnh</w:t>
            </w:r>
            <w:r>
              <w:rPr>
                <w:rFonts w:ascii="Times New Roman" w:hAnsi="Times New Roman" w:cs="Times New Roman"/>
                <w:b/>
                <w:sz w:val="28"/>
                <w:szCs w:val="28"/>
                <w:lang w:val="en-US"/>
              </w:rPr>
              <w:t xml:space="preserve"> và đối tượng áp dụng</w:t>
            </w:r>
          </w:p>
          <w:p w14:paraId="3FDB0277" w14:textId="77777777" w:rsidR="009B3FEE" w:rsidRDefault="009B3FEE" w:rsidP="009B3FEE">
            <w:pPr>
              <w:pStyle w:val="ListParagraph"/>
              <w:numPr>
                <w:ilvl w:val="0"/>
                <w:numId w:val="2"/>
              </w:numPr>
              <w:ind w:right="130"/>
              <w:jc w:val="both"/>
              <w:rPr>
                <w:rFonts w:ascii="Times New Roman" w:hAnsi="Times New Roman" w:cs="Times New Roman"/>
                <w:sz w:val="28"/>
                <w:szCs w:val="28"/>
                <w:lang w:val="en-US"/>
              </w:rPr>
            </w:pPr>
            <w:r w:rsidRPr="009B3FEE">
              <w:rPr>
                <w:rFonts w:ascii="Times New Roman" w:hAnsi="Times New Roman" w:cs="Times New Roman"/>
                <w:b/>
                <w:sz w:val="28"/>
                <w:szCs w:val="28"/>
                <w:lang w:val="en-US"/>
              </w:rPr>
              <w:t>Phạm vi diều chỉnh</w:t>
            </w:r>
            <w:r>
              <w:rPr>
                <w:rFonts w:ascii="Times New Roman" w:hAnsi="Times New Roman" w:cs="Times New Roman"/>
                <w:sz w:val="28"/>
                <w:szCs w:val="28"/>
                <w:lang w:val="en-US"/>
              </w:rPr>
              <w:t>:</w:t>
            </w:r>
          </w:p>
          <w:p w14:paraId="1D1BDCA1" w14:textId="4FFA54C3" w:rsidR="009B3FEE" w:rsidRPr="009B3FEE" w:rsidRDefault="009B3FEE" w:rsidP="009B3FEE">
            <w:pPr>
              <w:ind w:left="145" w:right="130"/>
              <w:jc w:val="both"/>
              <w:rPr>
                <w:rFonts w:ascii="Times New Roman" w:hAnsi="Times New Roman" w:cs="Times New Roman"/>
                <w:sz w:val="28"/>
                <w:szCs w:val="28"/>
                <w:lang w:val="en-US"/>
              </w:rPr>
            </w:pPr>
            <w:r w:rsidRPr="009B3FEE">
              <w:rPr>
                <w:rFonts w:ascii="Times New Roman" w:hAnsi="Times New Roman" w:cs="Times New Roman"/>
                <w:sz w:val="28"/>
                <w:szCs w:val="28"/>
                <w:lang w:val="en-US"/>
              </w:rPr>
              <w:t>Quy định mức thu và tỷ lệ phần trăm (%) được trích để lại cho cơ quan tổ chức thu lệ phí hộ tịch trên địa bàn tỉnh Lạng Sơn</w:t>
            </w:r>
          </w:p>
        </w:tc>
        <w:tc>
          <w:tcPr>
            <w:tcW w:w="2286" w:type="pct"/>
            <w:vMerge w:val="restart"/>
            <w:vAlign w:val="center"/>
          </w:tcPr>
          <w:p w14:paraId="6CBE908B" w14:textId="5EF2879B" w:rsidR="009B3FEE" w:rsidRPr="009B3FEE" w:rsidRDefault="009B3FEE" w:rsidP="009B3FEE">
            <w:pPr>
              <w:ind w:left="145" w:right="130"/>
              <w:jc w:val="both"/>
              <w:rPr>
                <w:rFonts w:ascii="Times New Roman" w:eastAsia="Yu Gothic" w:hAnsi="Times New Roman" w:cs="Times New Roman"/>
                <w:bCs/>
                <w:sz w:val="28"/>
                <w:szCs w:val="28"/>
                <w:lang w:val="en-US"/>
              </w:rPr>
            </w:pPr>
            <w:r w:rsidRPr="009B3FEE">
              <w:rPr>
                <w:rFonts w:ascii="Times New Roman" w:eastAsia="Yu Gothic" w:hAnsi="Times New Roman" w:cs="Times New Roman"/>
                <w:bCs/>
                <w:sz w:val="28"/>
                <w:szCs w:val="28"/>
                <w:lang w:val="en-US"/>
              </w:rPr>
              <w:t xml:space="preserve">Quy định tại điểm c Điều 5 Thông tư 85/2019/TT-BTC đã được sửa đổi bổ sung tại điểm e khoản 3 Điều 1 Thông tư 106/2021/TT-BTC: </w:t>
            </w:r>
          </w:p>
          <w:p w14:paraId="119A34A4" w14:textId="6DC2B981" w:rsidR="009B3FEE" w:rsidRPr="009B3FEE" w:rsidRDefault="009B3FEE" w:rsidP="009B3FEE">
            <w:pPr>
              <w:ind w:left="145" w:right="130"/>
              <w:jc w:val="both"/>
              <w:rPr>
                <w:rFonts w:ascii="Times New Roman" w:eastAsia="Yu Gothic" w:hAnsi="Times New Roman" w:cs="Times New Roman"/>
                <w:b/>
                <w:bCs/>
                <w:sz w:val="28"/>
                <w:szCs w:val="28"/>
                <w:lang w:val="en-US"/>
              </w:rPr>
            </w:pPr>
            <w:r w:rsidRPr="009B3FEE">
              <w:rPr>
                <w:rFonts w:ascii="Times New Roman" w:eastAsia="Yu Gothic" w:hAnsi="Times New Roman" w:cs="Times New Roman"/>
                <w:b/>
                <w:bCs/>
                <w:sz w:val="28"/>
                <w:szCs w:val="28"/>
                <w:lang w:val="en-US"/>
              </w:rPr>
              <w:t>“</w:t>
            </w:r>
            <w:r w:rsidRPr="009B3FEE">
              <w:rPr>
                <w:rFonts w:ascii="Times New Roman" w:eastAsia="Yu Gothic" w:hAnsi="Times New Roman" w:cs="Times New Roman"/>
                <w:bCs/>
                <w:i/>
                <w:sz w:val="28"/>
                <w:szCs w:val="28"/>
                <w:lang w:val="en-US"/>
              </w:rPr>
              <w:t>c) Lệ phí hộ tịch là khoản thu đối với người được cơ quan nhà nước có thẩm quyền giải quyết các công việc về hộ tịch theo quy định của pháp luật, không bao gồm việc cấp bản sao trích lục hộ tịch (thu phí khai thác, sử dụng thông tin trong cơ sở dữ liệu hộ tịch theo quy định tại Thông tư số 281/2016/TT-BTC ngày 14 tháng 11 năm 2016 của Bộ trưởng Bộ Tài chính).”</w:t>
            </w:r>
          </w:p>
        </w:tc>
      </w:tr>
      <w:tr w:rsidR="009B3FEE" w:rsidRPr="009B3FEE" w14:paraId="3F7FB529" w14:textId="77777777" w:rsidTr="009B3FEE">
        <w:tc>
          <w:tcPr>
            <w:tcW w:w="286" w:type="pct"/>
          </w:tcPr>
          <w:p w14:paraId="3E249843" w14:textId="7101AA64" w:rsidR="009B3FEE" w:rsidRPr="009B3FEE" w:rsidRDefault="009B3FEE" w:rsidP="00F74648">
            <w:pPr>
              <w:ind w:left="145" w:right="130"/>
              <w:jc w:val="both"/>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2428" w:type="pct"/>
            <w:vAlign w:val="center"/>
          </w:tcPr>
          <w:p w14:paraId="59F83506" w14:textId="177DD951" w:rsidR="009B3FEE" w:rsidRPr="009B3FEE" w:rsidRDefault="009B3FEE" w:rsidP="00F74648">
            <w:pPr>
              <w:ind w:left="145" w:right="130"/>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Pr="009B3FEE">
              <w:rPr>
                <w:rFonts w:ascii="Times New Roman" w:hAnsi="Times New Roman" w:cs="Times New Roman"/>
                <w:b/>
                <w:sz w:val="28"/>
                <w:szCs w:val="28"/>
              </w:rPr>
              <w:t>. Đối tượng áp dụng</w:t>
            </w:r>
          </w:p>
          <w:p w14:paraId="01861D82" w14:textId="741BBDD4" w:rsidR="009B3FEE" w:rsidRPr="009B3FEE" w:rsidRDefault="009B3FEE" w:rsidP="00F74648">
            <w:pPr>
              <w:ind w:left="145" w:right="130"/>
              <w:jc w:val="both"/>
              <w:rPr>
                <w:rFonts w:ascii="Times New Roman" w:hAnsi="Times New Roman" w:cs="Times New Roman"/>
                <w:b/>
                <w:sz w:val="28"/>
                <w:szCs w:val="28"/>
                <w:lang w:val="en-US"/>
              </w:rPr>
            </w:pPr>
            <w:r w:rsidRPr="009B3FEE">
              <w:rPr>
                <w:rFonts w:ascii="Times New Roman" w:hAnsi="Times New Roman" w:cs="Times New Roman"/>
                <w:color w:val="auto"/>
                <w:sz w:val="28"/>
                <w:szCs w:val="28"/>
                <w:lang w:val="pt-BR" w:eastAsia="en-US"/>
              </w:rPr>
              <w:t xml:space="preserve">Người </w:t>
            </w:r>
            <w:r w:rsidRPr="009B3FEE">
              <w:rPr>
                <w:rFonts w:ascii="Times New Roman" w:hAnsi="Times New Roman" w:cs="Times New Roman"/>
                <w:color w:val="auto"/>
                <w:sz w:val="28"/>
                <w:szCs w:val="28"/>
                <w:lang w:eastAsia="en-US"/>
              </w:rPr>
              <w:t xml:space="preserve">được </w:t>
            </w:r>
            <w:r w:rsidRPr="009B3FEE">
              <w:rPr>
                <w:rFonts w:ascii="Times New Roman" w:hAnsi="Times New Roman" w:cs="Times New Roman"/>
                <w:color w:val="auto"/>
                <w:sz w:val="28"/>
                <w:szCs w:val="28"/>
                <w:lang w:val="en-US" w:eastAsia="en-US"/>
              </w:rPr>
              <w:t xml:space="preserve">cơ quan nhà nước có thẩm quyền </w:t>
            </w:r>
            <w:r w:rsidRPr="009B3FEE">
              <w:rPr>
                <w:rFonts w:ascii="Times New Roman" w:hAnsi="Times New Roman" w:cs="Times New Roman"/>
                <w:color w:val="auto"/>
                <w:sz w:val="28"/>
                <w:szCs w:val="28"/>
                <w:lang w:eastAsia="en-US"/>
              </w:rPr>
              <w:t>giải quyết các công việc về hộ tịch theo quy định của pháp luật phải nộp lệ phí</w:t>
            </w:r>
          </w:p>
        </w:tc>
        <w:tc>
          <w:tcPr>
            <w:tcW w:w="2286" w:type="pct"/>
            <w:vMerge/>
            <w:vAlign w:val="center"/>
          </w:tcPr>
          <w:p w14:paraId="56EF904D" w14:textId="5F2DEE11" w:rsidR="009B3FEE" w:rsidRPr="009B3FEE" w:rsidRDefault="009B3FEE" w:rsidP="00CD1425">
            <w:pPr>
              <w:ind w:left="145" w:right="130"/>
              <w:jc w:val="both"/>
              <w:rPr>
                <w:rFonts w:ascii="Times New Roman" w:hAnsi="Times New Roman" w:cs="Times New Roman"/>
                <w:sz w:val="28"/>
                <w:szCs w:val="28"/>
                <w:lang w:val="en-US"/>
              </w:rPr>
            </w:pPr>
          </w:p>
        </w:tc>
      </w:tr>
      <w:tr w:rsidR="009B3FEE" w:rsidRPr="009B3FEE" w14:paraId="0F96E913" w14:textId="77777777" w:rsidTr="009B3FEE">
        <w:tc>
          <w:tcPr>
            <w:tcW w:w="286" w:type="pct"/>
          </w:tcPr>
          <w:p w14:paraId="0D3BB8E4" w14:textId="67F2C20D" w:rsidR="00FF6F09" w:rsidRPr="009B3FEE" w:rsidRDefault="009B3FEE" w:rsidP="00FF6F09">
            <w:pPr>
              <w:widowControl/>
              <w:spacing w:before="120" w:after="120" w:line="264" w:lineRule="auto"/>
              <w:jc w:val="both"/>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3</w:t>
            </w:r>
          </w:p>
        </w:tc>
        <w:tc>
          <w:tcPr>
            <w:tcW w:w="2428" w:type="pct"/>
            <w:vAlign w:val="center"/>
          </w:tcPr>
          <w:p w14:paraId="6D8C2293" w14:textId="7F52F7B6" w:rsidR="00FF6F09" w:rsidRPr="009B3FEE" w:rsidRDefault="009B3FEE" w:rsidP="00FF6F09">
            <w:pPr>
              <w:widowControl/>
              <w:spacing w:before="120" w:after="120" w:line="264" w:lineRule="auto"/>
              <w:jc w:val="both"/>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Điều 2</w:t>
            </w:r>
            <w:r w:rsidR="00FF6F09" w:rsidRPr="00FF6F09">
              <w:rPr>
                <w:rFonts w:ascii="Times New Roman" w:hAnsi="Times New Roman" w:cs="Times New Roman"/>
                <w:b/>
                <w:color w:val="auto"/>
                <w:sz w:val="28"/>
                <w:szCs w:val="28"/>
                <w:lang w:val="en-US" w:eastAsia="en-US"/>
              </w:rPr>
              <w:t>. Mức thu lệ phí và tỷ lệ phần trăm (%) lệ phí được để lại</w:t>
            </w:r>
          </w:p>
          <w:p w14:paraId="4609BD8B" w14:textId="4B6F2A91" w:rsidR="00C53D16" w:rsidRPr="009B3FEE" w:rsidRDefault="00C53D16" w:rsidP="00FF6F09">
            <w:pPr>
              <w:widowControl/>
              <w:spacing w:before="120" w:after="120" w:line="264" w:lineRule="auto"/>
              <w:jc w:val="both"/>
              <w:rPr>
                <w:rFonts w:ascii="Times New Roman" w:hAnsi="Times New Roman" w:cs="Times New Roman"/>
                <w:b/>
                <w:color w:val="auto"/>
                <w:sz w:val="28"/>
                <w:szCs w:val="28"/>
                <w:lang w:val="en-US" w:eastAsia="en-US"/>
              </w:rPr>
            </w:pPr>
            <w:r w:rsidRPr="009B3FEE">
              <w:rPr>
                <w:rFonts w:ascii="Times New Roman" w:hAnsi="Times New Roman" w:cs="Times New Roman"/>
                <w:b/>
                <w:color w:val="auto"/>
                <w:sz w:val="28"/>
                <w:szCs w:val="28"/>
                <w:lang w:val="en-US" w:eastAsia="en-US"/>
              </w:rPr>
              <w:t>1. Mức thu:</w:t>
            </w:r>
          </w:p>
          <w:p w14:paraId="3983C3D5" w14:textId="77777777" w:rsidR="00C53D16" w:rsidRPr="009B3FEE" w:rsidRDefault="00C53D16" w:rsidP="00C53D16">
            <w:pPr>
              <w:widowControl/>
              <w:spacing w:before="120" w:after="120" w:line="264" w:lineRule="auto"/>
              <w:jc w:val="both"/>
              <w:rPr>
                <w:rFonts w:ascii="Times New Roman" w:hAnsi="Times New Roman" w:cs="Times New Roman"/>
                <w:color w:val="auto"/>
                <w:sz w:val="28"/>
                <w:szCs w:val="28"/>
                <w:lang w:val="en-US" w:eastAsia="en-US"/>
              </w:rPr>
            </w:pPr>
            <w:r w:rsidRPr="009B3FEE">
              <w:rPr>
                <w:rFonts w:ascii="Times New Roman" w:hAnsi="Times New Roman" w:cs="Times New Roman"/>
                <w:color w:val="auto"/>
                <w:sz w:val="28"/>
                <w:szCs w:val="28"/>
                <w:lang w:val="en-US" w:eastAsia="en-US"/>
              </w:rPr>
              <w:t>- Chia làm 02 loại việc hộ tịch: Đăng ký hộ tịch trong nước và đăng ký hộ tịch có yếu tố nước ngoài</w:t>
            </w:r>
          </w:p>
          <w:p w14:paraId="13571D9B" w14:textId="4FC8A3AF" w:rsidR="00C53D16" w:rsidRPr="009B3FEE" w:rsidRDefault="00C53D16" w:rsidP="00C53D16">
            <w:pPr>
              <w:widowControl/>
              <w:spacing w:before="120" w:after="120" w:line="264" w:lineRule="auto"/>
              <w:jc w:val="both"/>
              <w:rPr>
                <w:rFonts w:ascii="Times New Roman" w:hAnsi="Times New Roman" w:cs="Times New Roman"/>
                <w:b/>
                <w:color w:val="auto"/>
                <w:sz w:val="28"/>
                <w:szCs w:val="28"/>
                <w:lang w:val="en-US" w:eastAsia="en-US"/>
              </w:rPr>
            </w:pPr>
          </w:p>
        </w:tc>
        <w:tc>
          <w:tcPr>
            <w:tcW w:w="2286" w:type="pct"/>
            <w:vAlign w:val="center"/>
          </w:tcPr>
          <w:p w14:paraId="5D4173E5" w14:textId="730332ED" w:rsidR="00FF6F09" w:rsidRPr="009B3FEE" w:rsidRDefault="00C53D16" w:rsidP="00C53D16">
            <w:pPr>
              <w:ind w:left="145" w:right="130"/>
              <w:jc w:val="both"/>
              <w:rPr>
                <w:rFonts w:ascii="Times New Roman" w:eastAsia="Yu Gothic" w:hAnsi="Times New Roman" w:cs="Times New Roman"/>
                <w:sz w:val="28"/>
                <w:szCs w:val="28"/>
                <w:lang w:val="en-US"/>
              </w:rPr>
            </w:pPr>
            <w:r w:rsidRPr="009B3FEE">
              <w:rPr>
                <w:rFonts w:ascii="Times New Roman" w:eastAsia="Yu Gothic" w:hAnsi="Times New Roman" w:cs="Times New Roman"/>
                <w:sz w:val="28"/>
                <w:szCs w:val="28"/>
                <w:lang w:val="en-US"/>
              </w:rPr>
              <w:t>- Căn cứ Kết luận 137-KL/TW, ngày 28/4/2025 của Bộ Chính trị, Ban Bí thư về đề án sắp xếp, tổ chức lại đơn vị hành chính các cấp và xây dựng mô hình tổ chức chính quyền địa phương 02 cấp đã đưa ra mục tiêu: “Kết thúc hoạt động của đơn vị hành chính cấp huyện hiện nay kể từ ngày 01/7/2025 sau khi Hiến pháp năm 2013 (sửa đổi) và Luật Tổ chức chính quyền địa phương năm 2025 (sửa đổi) có hiệu lực thi hành”.</w:t>
            </w:r>
          </w:p>
          <w:p w14:paraId="15FE8E5F" w14:textId="09170C99" w:rsidR="00C53D16" w:rsidRPr="009B3FEE" w:rsidRDefault="00C53D16" w:rsidP="009B3FEE">
            <w:pPr>
              <w:ind w:left="145" w:right="130"/>
              <w:jc w:val="both"/>
              <w:rPr>
                <w:rFonts w:ascii="Times New Roman" w:eastAsia="Yu Gothic" w:hAnsi="Times New Roman" w:cs="Times New Roman"/>
                <w:sz w:val="28"/>
                <w:szCs w:val="28"/>
                <w:lang w:val="en-US"/>
              </w:rPr>
            </w:pPr>
            <w:r w:rsidRPr="009B3FEE">
              <w:rPr>
                <w:rFonts w:ascii="Times New Roman" w:eastAsia="Yu Gothic" w:hAnsi="Times New Roman" w:cs="Times New Roman"/>
                <w:sz w:val="28"/>
                <w:szCs w:val="28"/>
                <w:lang w:val="en-US"/>
              </w:rPr>
              <w:t xml:space="preserve">- Dự thảo Nghị định của Chính phủ quy định về phân cấp, </w:t>
            </w:r>
            <w:r w:rsidRPr="009B3FEE">
              <w:rPr>
                <w:rFonts w:ascii="Times New Roman" w:eastAsia="Yu Gothic" w:hAnsi="Times New Roman" w:cs="Times New Roman"/>
                <w:sz w:val="28"/>
                <w:szCs w:val="28"/>
                <w:lang w:val="en-US"/>
              </w:rPr>
              <w:lastRenderedPageBreak/>
              <w:t>phân đị</w:t>
            </w:r>
            <w:r w:rsidR="009B3FEE" w:rsidRPr="009B3FEE">
              <w:rPr>
                <w:rFonts w:ascii="Times New Roman" w:eastAsia="Yu Gothic" w:hAnsi="Times New Roman" w:cs="Times New Roman"/>
                <w:sz w:val="28"/>
                <w:szCs w:val="28"/>
                <w:lang w:val="en-US"/>
              </w:rPr>
              <w:t xml:space="preserve">nh </w:t>
            </w:r>
            <w:r w:rsidRPr="009B3FEE">
              <w:rPr>
                <w:rFonts w:ascii="Times New Roman" w:eastAsia="Yu Gothic" w:hAnsi="Times New Roman" w:cs="Times New Roman"/>
                <w:sz w:val="28"/>
                <w:szCs w:val="28"/>
                <w:lang w:val="en-US"/>
              </w:rPr>
              <w:t>thẩm quyền quản lý nhà nước trong lĩnh vực tư pháp khi tổ chức chính quyền địa phương 02 cấp (Bộ Tư pháp đang hoàn thiện hồ sơ trình cấp có thẩm quyền quyết định) Theo dự thảo thì các việc hộ tịch sau khi kết thúc cấp huyện từ 01/7/2025 thì sẽ giao các việc hộ tịch cho UBND cấp xã tiếp nhận và giải quyết.</w:t>
            </w:r>
          </w:p>
          <w:p w14:paraId="5CC5A130" w14:textId="6538B071" w:rsidR="00C53D16" w:rsidRPr="009B3FEE" w:rsidRDefault="00C53D16" w:rsidP="00C53D16">
            <w:pPr>
              <w:ind w:left="145" w:right="130"/>
              <w:jc w:val="both"/>
              <w:rPr>
                <w:rFonts w:ascii="Times New Roman" w:eastAsia="Yu Gothic" w:hAnsi="Times New Roman" w:cs="Times New Roman"/>
                <w:sz w:val="28"/>
                <w:szCs w:val="28"/>
                <w:lang w:val="en-US"/>
              </w:rPr>
            </w:pPr>
            <w:r w:rsidRPr="009B3FEE">
              <w:rPr>
                <w:rFonts w:ascii="Times New Roman" w:eastAsia="Yu Gothic" w:hAnsi="Times New Roman" w:cs="Times New Roman"/>
                <w:sz w:val="28"/>
                <w:szCs w:val="28"/>
                <w:lang w:val="en-US"/>
              </w:rPr>
              <w:t>Do đo, không thể áp dụng mức thu theo nghị quyết 44/2017/NQ-HDDND là thực hiện mức thu theo UBND cấp xã thực hiện và UBND cấp huyện thực hiện.</w:t>
            </w:r>
          </w:p>
          <w:p w14:paraId="355817D4" w14:textId="286F9F5D" w:rsidR="00C53D16" w:rsidRPr="009B3FEE" w:rsidRDefault="00C53D16" w:rsidP="00C53D16">
            <w:pPr>
              <w:ind w:left="145" w:right="130"/>
              <w:jc w:val="both"/>
              <w:rPr>
                <w:rFonts w:ascii="Times New Roman" w:eastAsia="Yu Gothic" w:hAnsi="Times New Roman" w:cs="Times New Roman"/>
                <w:sz w:val="28"/>
                <w:szCs w:val="28"/>
                <w:lang w:val="en-US"/>
              </w:rPr>
            </w:pPr>
          </w:p>
        </w:tc>
      </w:tr>
      <w:tr w:rsidR="00C53D16" w:rsidRPr="009B3FEE" w14:paraId="6395312B" w14:textId="77777777" w:rsidTr="009B3FEE">
        <w:tc>
          <w:tcPr>
            <w:tcW w:w="286" w:type="pct"/>
          </w:tcPr>
          <w:p w14:paraId="2D8726C4" w14:textId="61A8932C" w:rsidR="00C53D16" w:rsidRPr="009B3FEE" w:rsidRDefault="00C53D16" w:rsidP="00FF6F09">
            <w:pPr>
              <w:widowControl/>
              <w:spacing w:before="120" w:after="120" w:line="264" w:lineRule="auto"/>
              <w:jc w:val="both"/>
              <w:rPr>
                <w:rFonts w:ascii="Times New Roman" w:hAnsi="Times New Roman" w:cs="Times New Roman"/>
                <w:b/>
                <w:color w:val="auto"/>
                <w:sz w:val="28"/>
                <w:szCs w:val="28"/>
                <w:lang w:val="en-US" w:eastAsia="en-US"/>
              </w:rPr>
            </w:pPr>
          </w:p>
        </w:tc>
        <w:tc>
          <w:tcPr>
            <w:tcW w:w="2428" w:type="pct"/>
            <w:vAlign w:val="center"/>
          </w:tcPr>
          <w:p w14:paraId="34E70B64" w14:textId="0D55C262" w:rsidR="00C53D16" w:rsidRPr="009B3FEE" w:rsidRDefault="00C53D16" w:rsidP="00FF6F09">
            <w:pPr>
              <w:widowControl/>
              <w:spacing w:before="120" w:after="120" w:line="264" w:lineRule="auto"/>
              <w:jc w:val="both"/>
              <w:rPr>
                <w:rFonts w:ascii="Times New Roman" w:hAnsi="Times New Roman" w:cs="Times New Roman"/>
                <w:b/>
                <w:color w:val="auto"/>
                <w:sz w:val="28"/>
                <w:szCs w:val="28"/>
                <w:lang w:val="en-US" w:eastAsia="en-US"/>
              </w:rPr>
            </w:pPr>
            <w:r w:rsidRPr="009B3FEE">
              <w:rPr>
                <w:rFonts w:ascii="Times New Roman" w:hAnsi="Times New Roman" w:cs="Times New Roman"/>
                <w:b/>
                <w:color w:val="auto"/>
                <w:sz w:val="28"/>
                <w:szCs w:val="28"/>
                <w:lang w:val="en-US" w:eastAsia="en-US"/>
              </w:rPr>
              <w:t xml:space="preserve">- </w:t>
            </w:r>
            <w:r w:rsidRPr="009B3FEE">
              <w:rPr>
                <w:rFonts w:ascii="Times New Roman" w:hAnsi="Times New Roman" w:cs="Times New Roman"/>
                <w:color w:val="auto"/>
                <w:sz w:val="28"/>
                <w:szCs w:val="28"/>
                <w:lang w:val="en-US" w:eastAsia="en-US"/>
              </w:rPr>
              <w:t>Mức thu : Mức thu cụ thể tại dự thảo NQ đã áp dụng mức thu theo quy định tại Nghị quyết 44/2017/NQ-HĐND</w:t>
            </w:r>
            <w:r w:rsidRPr="009B3FEE">
              <w:rPr>
                <w:rFonts w:ascii="Times New Roman" w:hAnsi="Times New Roman" w:cs="Times New Roman"/>
                <w:b/>
                <w:color w:val="auto"/>
                <w:sz w:val="28"/>
                <w:szCs w:val="28"/>
                <w:lang w:val="en-US" w:eastAsia="en-US"/>
              </w:rPr>
              <w:t>.</w:t>
            </w:r>
          </w:p>
        </w:tc>
        <w:tc>
          <w:tcPr>
            <w:tcW w:w="2286" w:type="pct"/>
            <w:vAlign w:val="center"/>
          </w:tcPr>
          <w:p w14:paraId="6984E702" w14:textId="77777777" w:rsidR="00C53D16" w:rsidRPr="009B3FEE" w:rsidRDefault="00C53D16" w:rsidP="00C53D16">
            <w:pPr>
              <w:ind w:left="145" w:right="130"/>
              <w:jc w:val="both"/>
              <w:rPr>
                <w:rFonts w:ascii="Times New Roman" w:eastAsia="Yu Gothic" w:hAnsi="Times New Roman" w:cs="Times New Roman"/>
                <w:sz w:val="28"/>
                <w:szCs w:val="28"/>
                <w:lang w:val="en-US"/>
              </w:rPr>
            </w:pPr>
            <w:r w:rsidRPr="009B3FEE">
              <w:rPr>
                <w:rFonts w:ascii="Times New Roman" w:eastAsia="Yu Gothic" w:hAnsi="Times New Roman" w:cs="Times New Roman"/>
                <w:sz w:val="28"/>
                <w:szCs w:val="28"/>
                <w:lang w:val="en-US"/>
              </w:rPr>
              <w:t xml:space="preserve">Việc  áp dụng mức thu và nội dung thu căn cứ trên mức thu và nội dung thu của Nghị quyết 44/2017/NQ-HĐND và trên tình hình thực tế các cơ quan đăng ký hộ tịch đã thu. Thực tế thì việc thu lệ phí hộ tịch có mức thu không cao,  các việc hộ tịch hiện nay chủ yếu được người dân thực hiện đúng quy định nên một số việc hộ tịch  được miễn lệ phí hoặc giảm lệ phí. </w:t>
            </w:r>
          </w:p>
          <w:p w14:paraId="1EACBB2B" w14:textId="2A9F32C3" w:rsidR="00C53D16" w:rsidRPr="009B3FEE" w:rsidRDefault="00C53D16" w:rsidP="00C53D16">
            <w:pPr>
              <w:ind w:left="145" w:right="130"/>
              <w:jc w:val="both"/>
              <w:rPr>
                <w:rFonts w:ascii="Times New Roman" w:eastAsia="Yu Gothic" w:hAnsi="Times New Roman" w:cs="Times New Roman"/>
                <w:sz w:val="28"/>
                <w:szCs w:val="28"/>
                <w:lang w:val="en-US"/>
              </w:rPr>
            </w:pPr>
            <w:r w:rsidRPr="009B3FEE">
              <w:rPr>
                <w:rFonts w:ascii="Times New Roman" w:eastAsia="Yu Gothic" w:hAnsi="Times New Roman" w:cs="Times New Roman"/>
                <w:sz w:val="28"/>
                <w:szCs w:val="28"/>
                <w:lang w:val="en-US"/>
              </w:rPr>
              <w:t>Trong thời gian tới, Sở Tài chính sẽ trình HĐND tỉnh ban hành Nghị quyết thu phí 0 đồng đối với TTHC trực tuyến lĩnh vực hộ tịch, do đó, không cần thiết phải điều chỉnh mức thu.</w:t>
            </w:r>
          </w:p>
        </w:tc>
      </w:tr>
      <w:tr w:rsidR="00C53D16" w:rsidRPr="009B3FEE" w14:paraId="78B950E4" w14:textId="77777777" w:rsidTr="009B3FEE">
        <w:tc>
          <w:tcPr>
            <w:tcW w:w="286" w:type="pct"/>
          </w:tcPr>
          <w:p w14:paraId="09696F19" w14:textId="670B5326" w:rsidR="00C53D16" w:rsidRPr="009B3FEE" w:rsidRDefault="009B3FEE" w:rsidP="00FF6F09">
            <w:pPr>
              <w:widowControl/>
              <w:spacing w:before="120" w:after="120" w:line="264" w:lineRule="auto"/>
              <w:jc w:val="both"/>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4</w:t>
            </w:r>
          </w:p>
        </w:tc>
        <w:tc>
          <w:tcPr>
            <w:tcW w:w="2428" w:type="pct"/>
            <w:vAlign w:val="center"/>
          </w:tcPr>
          <w:p w14:paraId="74766338" w14:textId="650FE341" w:rsidR="00C53D16" w:rsidRPr="009B3FEE" w:rsidRDefault="00C53D16" w:rsidP="00C53D16">
            <w:pPr>
              <w:widowControl/>
              <w:spacing w:before="120" w:after="120" w:line="264" w:lineRule="auto"/>
              <w:jc w:val="both"/>
              <w:rPr>
                <w:rFonts w:ascii="Times New Roman" w:hAnsi="Times New Roman" w:cs="Times New Roman"/>
                <w:b/>
                <w:color w:val="auto"/>
                <w:sz w:val="28"/>
                <w:szCs w:val="28"/>
                <w:lang w:val="en-US" w:eastAsia="en-US"/>
              </w:rPr>
            </w:pPr>
            <w:r w:rsidRPr="009B3FEE">
              <w:rPr>
                <w:rFonts w:ascii="Times New Roman" w:hAnsi="Times New Roman" w:cs="Times New Roman"/>
                <w:b/>
                <w:color w:val="auto"/>
                <w:sz w:val="28"/>
                <w:szCs w:val="28"/>
                <w:lang w:val="en-US" w:eastAsia="en-US"/>
              </w:rPr>
              <w:t>2. Miễn lệ phí hộ tịch trong những trường hợp sau:</w:t>
            </w:r>
          </w:p>
          <w:p w14:paraId="7CC96356" w14:textId="77777777" w:rsidR="00C53D16" w:rsidRPr="009B3FEE" w:rsidRDefault="00C53D16" w:rsidP="00C53D16">
            <w:pPr>
              <w:widowControl/>
              <w:spacing w:before="120" w:after="120" w:line="264" w:lineRule="auto"/>
              <w:jc w:val="both"/>
              <w:rPr>
                <w:rFonts w:ascii="Times New Roman" w:hAnsi="Times New Roman" w:cs="Times New Roman"/>
                <w:color w:val="auto"/>
                <w:sz w:val="28"/>
                <w:szCs w:val="28"/>
                <w:lang w:val="en-US" w:eastAsia="en-US"/>
              </w:rPr>
            </w:pPr>
            <w:r w:rsidRPr="009B3FEE">
              <w:rPr>
                <w:rFonts w:ascii="Times New Roman" w:hAnsi="Times New Roman" w:cs="Times New Roman"/>
                <w:color w:val="auto"/>
                <w:sz w:val="28"/>
                <w:szCs w:val="28"/>
                <w:lang w:val="en-US" w:eastAsia="en-US"/>
              </w:rPr>
              <w:t>a) Đăng ký hộ tịch cho người thuộc gia đình có công với cách mạng; người thuộc hộ nghèo; người khuyết tật.</w:t>
            </w:r>
          </w:p>
          <w:p w14:paraId="2CD7D213" w14:textId="54F4CE28" w:rsidR="00C53D16" w:rsidRPr="009B3FEE" w:rsidRDefault="00C53D16" w:rsidP="00C53D16">
            <w:pPr>
              <w:widowControl/>
              <w:spacing w:before="120" w:after="120" w:line="264" w:lineRule="auto"/>
              <w:jc w:val="both"/>
              <w:rPr>
                <w:rFonts w:ascii="Times New Roman" w:hAnsi="Times New Roman" w:cs="Times New Roman"/>
                <w:b/>
                <w:color w:val="auto"/>
                <w:sz w:val="28"/>
                <w:szCs w:val="28"/>
                <w:lang w:val="en-US" w:eastAsia="en-US"/>
              </w:rPr>
            </w:pPr>
            <w:r w:rsidRPr="009B3FEE">
              <w:rPr>
                <w:rFonts w:ascii="Times New Roman" w:hAnsi="Times New Roman" w:cs="Times New Roman"/>
                <w:color w:val="auto"/>
                <w:sz w:val="28"/>
                <w:szCs w:val="28"/>
                <w:lang w:val="en-US" w:eastAsia="en-US"/>
              </w:rPr>
              <w:t>b) Đăng ký khai sinh, khai tử đúng hạn, giám hộ, kết hôn của công dân Việt Nam cư trú ở trong nước.</w:t>
            </w:r>
          </w:p>
        </w:tc>
        <w:tc>
          <w:tcPr>
            <w:tcW w:w="2286" w:type="pct"/>
            <w:vAlign w:val="center"/>
          </w:tcPr>
          <w:p w14:paraId="0700E1D7" w14:textId="77777777" w:rsidR="00C53D16" w:rsidRPr="009B3FEE" w:rsidRDefault="009B3FEE" w:rsidP="00720517">
            <w:pPr>
              <w:ind w:left="145" w:right="130"/>
              <w:jc w:val="both"/>
              <w:rPr>
                <w:rFonts w:ascii="Times New Roman" w:hAnsi="Times New Roman" w:cs="Times New Roman"/>
                <w:iCs/>
                <w:color w:val="auto"/>
                <w:sz w:val="28"/>
                <w:szCs w:val="28"/>
                <w:lang w:val="en-US" w:eastAsia="en-US"/>
              </w:rPr>
            </w:pPr>
            <w:r w:rsidRPr="009B3FEE">
              <w:rPr>
                <w:rFonts w:ascii="Times New Roman" w:eastAsia="Yu Gothic" w:hAnsi="Times New Roman" w:cs="Times New Roman"/>
                <w:sz w:val="28"/>
                <w:szCs w:val="28"/>
                <w:lang w:val="en-US"/>
              </w:rPr>
              <w:t xml:space="preserve">Quy đinh tại điểm e Điều 5 Thông tư </w:t>
            </w:r>
            <w:r w:rsidRPr="009B3FEE">
              <w:rPr>
                <w:rFonts w:ascii="Times New Roman" w:hAnsi="Times New Roman" w:cs="Times New Roman"/>
                <w:iCs/>
                <w:color w:val="auto"/>
                <w:sz w:val="28"/>
                <w:szCs w:val="28"/>
                <w:lang w:val="en-US" w:eastAsia="en-US"/>
              </w:rPr>
              <w:t>85/2019/TT-BTC ngày 29 tháng 11 năm 2019 của Bộ trưởng Bộ Tài chính, sửa đổi bổ sung tại điểm e Điều 1 Thông tư 106/2021/TT-BTC</w:t>
            </w:r>
          </w:p>
          <w:p w14:paraId="44EB61B7" w14:textId="77777777" w:rsidR="009B3FEE" w:rsidRPr="009B3FEE" w:rsidRDefault="009B3FEE" w:rsidP="009B3FEE">
            <w:pPr>
              <w:pStyle w:val="BodyText"/>
              <w:tabs>
                <w:tab w:val="left" w:pos="936"/>
              </w:tabs>
              <w:jc w:val="both"/>
              <w:rPr>
                <w:sz w:val="28"/>
                <w:szCs w:val="28"/>
                <w:shd w:val="clear" w:color="auto" w:fill="FFFFFF"/>
              </w:rPr>
            </w:pPr>
            <w:r w:rsidRPr="009B3FEE">
              <w:rPr>
                <w:i/>
                <w:iCs/>
                <w:sz w:val="28"/>
                <w:szCs w:val="28"/>
                <w:lang w:eastAsia="en-US"/>
              </w:rPr>
              <w:t>“</w:t>
            </w:r>
            <w:r w:rsidRPr="009B3FEE">
              <w:rPr>
                <w:i/>
                <w:sz w:val="28"/>
                <w:szCs w:val="28"/>
                <w:shd w:val="clear" w:color="auto" w:fill="FFFFFF"/>
              </w:rPr>
              <w:t>- Miễn, giảm lệ phí hộ tịch theo quy định tại Điều 10 Luật Phí và lệ phí và khoản 1 Điều 11 Luật Hộ tịch</w:t>
            </w:r>
            <w:r w:rsidRPr="009B3FEE">
              <w:rPr>
                <w:sz w:val="28"/>
                <w:szCs w:val="28"/>
                <w:shd w:val="clear" w:color="auto" w:fill="FFFFFF"/>
              </w:rPr>
              <w:t>”</w:t>
            </w:r>
          </w:p>
          <w:p w14:paraId="12D187B7" w14:textId="65D2F719" w:rsidR="009B3FEE" w:rsidRPr="009B3FEE" w:rsidRDefault="009B3FEE" w:rsidP="009B3FEE">
            <w:pPr>
              <w:pStyle w:val="BodyText"/>
              <w:tabs>
                <w:tab w:val="left" w:pos="936"/>
              </w:tabs>
              <w:jc w:val="both"/>
              <w:rPr>
                <w:sz w:val="28"/>
                <w:szCs w:val="28"/>
                <w:shd w:val="clear" w:color="auto" w:fill="FFFFFF"/>
              </w:rPr>
            </w:pPr>
            <w:r w:rsidRPr="009B3FEE">
              <w:rPr>
                <w:sz w:val="28"/>
                <w:szCs w:val="28"/>
                <w:shd w:val="clear" w:color="auto" w:fill="FFFFFF"/>
              </w:rPr>
              <w:t xml:space="preserve">Khoản 1 Điều 11 Luật Hộ tịch  quy định “Điều 11. Lệ phí </w:t>
            </w:r>
            <w:r w:rsidRPr="009B3FEE">
              <w:rPr>
                <w:sz w:val="28"/>
                <w:szCs w:val="28"/>
                <w:shd w:val="clear" w:color="auto" w:fill="FFFFFF"/>
              </w:rPr>
              <w:lastRenderedPageBreak/>
              <w:t>hộ tịch</w:t>
            </w:r>
          </w:p>
          <w:p w14:paraId="0B5034DA" w14:textId="3457912E" w:rsidR="009B3FEE" w:rsidRPr="009B3FEE" w:rsidRDefault="009B3FEE" w:rsidP="009B3FEE">
            <w:pPr>
              <w:pStyle w:val="BodyText"/>
              <w:tabs>
                <w:tab w:val="left" w:pos="936"/>
              </w:tabs>
              <w:jc w:val="both"/>
              <w:rPr>
                <w:i/>
                <w:sz w:val="28"/>
                <w:szCs w:val="28"/>
                <w:shd w:val="clear" w:color="auto" w:fill="FFFFFF"/>
              </w:rPr>
            </w:pPr>
            <w:r w:rsidRPr="009B3FEE">
              <w:rPr>
                <w:sz w:val="28"/>
                <w:szCs w:val="28"/>
                <w:shd w:val="clear" w:color="auto" w:fill="FFFFFF"/>
              </w:rPr>
              <w:t>“1</w:t>
            </w:r>
            <w:r w:rsidRPr="009B3FEE">
              <w:rPr>
                <w:i/>
                <w:sz w:val="28"/>
                <w:szCs w:val="28"/>
                <w:shd w:val="clear" w:color="auto" w:fill="FFFFFF"/>
              </w:rPr>
              <w:t>. Miễn lệ phí đăng ký hộ tịch trong những trường hợp sau:</w:t>
            </w:r>
          </w:p>
          <w:p w14:paraId="1F08399B" w14:textId="77777777" w:rsidR="009B3FEE" w:rsidRPr="009B3FEE" w:rsidRDefault="009B3FEE" w:rsidP="009B3FEE">
            <w:pPr>
              <w:pStyle w:val="BodyText"/>
              <w:tabs>
                <w:tab w:val="left" w:pos="936"/>
              </w:tabs>
              <w:jc w:val="both"/>
              <w:rPr>
                <w:i/>
                <w:sz w:val="28"/>
                <w:szCs w:val="28"/>
                <w:shd w:val="clear" w:color="auto" w:fill="FFFFFF"/>
              </w:rPr>
            </w:pPr>
            <w:r w:rsidRPr="009B3FEE">
              <w:rPr>
                <w:i/>
                <w:sz w:val="28"/>
                <w:szCs w:val="28"/>
                <w:shd w:val="clear" w:color="auto" w:fill="FFFFFF"/>
              </w:rPr>
              <w:t>a) Đăng ký hộ tịch cho người thuộc gia đình có công với cách mạng; người thuộc hộ nghèo; người khuyết tật;</w:t>
            </w:r>
          </w:p>
          <w:p w14:paraId="6EA2DB05" w14:textId="72602578" w:rsidR="009B3FEE" w:rsidRPr="009B3FEE" w:rsidRDefault="009B3FEE" w:rsidP="009B3FEE">
            <w:pPr>
              <w:pStyle w:val="BodyText"/>
              <w:tabs>
                <w:tab w:val="left" w:pos="936"/>
              </w:tabs>
              <w:jc w:val="both"/>
              <w:rPr>
                <w:rFonts w:ascii="Arial" w:hAnsi="Arial" w:cs="Arial"/>
                <w:sz w:val="28"/>
                <w:szCs w:val="28"/>
                <w:shd w:val="clear" w:color="auto" w:fill="FFFFFF"/>
              </w:rPr>
            </w:pPr>
            <w:r w:rsidRPr="009B3FEE">
              <w:rPr>
                <w:i/>
                <w:sz w:val="28"/>
                <w:szCs w:val="28"/>
                <w:shd w:val="clear" w:color="auto" w:fill="FFFFFF"/>
              </w:rPr>
              <w:t>b) Đăng ký khai sinh, khai tử đúng hạn, giám hộ, kết hôn của công dân Việt Nam cư trú ở trong nước.”</w:t>
            </w:r>
          </w:p>
        </w:tc>
      </w:tr>
      <w:tr w:rsidR="009B3FEE" w:rsidRPr="009B3FEE" w14:paraId="352472B2" w14:textId="77777777" w:rsidTr="009B3FEE">
        <w:tc>
          <w:tcPr>
            <w:tcW w:w="286" w:type="pct"/>
          </w:tcPr>
          <w:p w14:paraId="76468CBD" w14:textId="77777777" w:rsidR="009B3FEE" w:rsidRPr="009B3FEE" w:rsidRDefault="009B3FEE" w:rsidP="00FF6F09">
            <w:pPr>
              <w:widowControl/>
              <w:spacing w:before="120" w:after="120" w:line="264" w:lineRule="auto"/>
              <w:jc w:val="both"/>
              <w:rPr>
                <w:rFonts w:ascii="Times New Roman" w:hAnsi="Times New Roman" w:cs="Times New Roman"/>
                <w:b/>
                <w:color w:val="auto"/>
                <w:sz w:val="28"/>
                <w:szCs w:val="28"/>
                <w:lang w:val="en-US" w:eastAsia="en-US"/>
              </w:rPr>
            </w:pPr>
          </w:p>
        </w:tc>
        <w:tc>
          <w:tcPr>
            <w:tcW w:w="2428" w:type="pct"/>
            <w:vAlign w:val="center"/>
          </w:tcPr>
          <w:p w14:paraId="0B9233AA" w14:textId="0A15C929" w:rsidR="009B3FEE" w:rsidRPr="009B3FEE" w:rsidRDefault="009B3FEE" w:rsidP="00C53D16">
            <w:pPr>
              <w:widowControl/>
              <w:spacing w:before="120" w:after="120" w:line="264" w:lineRule="auto"/>
              <w:jc w:val="both"/>
              <w:rPr>
                <w:rFonts w:ascii="Times New Roman" w:hAnsi="Times New Roman" w:cs="Times New Roman"/>
                <w:color w:val="auto"/>
                <w:sz w:val="28"/>
                <w:szCs w:val="28"/>
                <w:lang w:val="en-US" w:eastAsia="en-US"/>
              </w:rPr>
            </w:pPr>
            <w:r w:rsidRPr="009B3FEE">
              <w:rPr>
                <w:rFonts w:ascii="Times New Roman" w:hAnsi="Times New Roman" w:cs="Times New Roman"/>
                <w:color w:val="auto"/>
                <w:sz w:val="28"/>
                <w:szCs w:val="28"/>
                <w:lang w:val="en-US" w:eastAsia="en-US"/>
              </w:rPr>
              <w:t>3. Tỷ lệ phần trăm (%) được trích để lại cho đơn vị thu lệ phí: cơ quan tổ chức thu lệ phí nộp 100% số tiền lệ phí thu được vào ngân sách nhà nước.</w:t>
            </w:r>
          </w:p>
        </w:tc>
        <w:tc>
          <w:tcPr>
            <w:tcW w:w="2286" w:type="pct"/>
            <w:vAlign w:val="center"/>
          </w:tcPr>
          <w:p w14:paraId="02D4B4B0" w14:textId="6EB90A75" w:rsidR="009B3FEE" w:rsidRPr="009B3FEE" w:rsidRDefault="009B3FEE" w:rsidP="00720517">
            <w:pPr>
              <w:ind w:left="145" w:right="130"/>
              <w:jc w:val="both"/>
              <w:rPr>
                <w:rFonts w:ascii="Times New Roman" w:eastAsia="Yu Gothic" w:hAnsi="Times New Roman" w:cs="Times New Roman"/>
                <w:sz w:val="28"/>
                <w:szCs w:val="28"/>
                <w:lang w:val="en-US"/>
              </w:rPr>
            </w:pPr>
            <w:r w:rsidRPr="009B3FEE">
              <w:rPr>
                <w:rFonts w:ascii="Times New Roman" w:eastAsia="Yu Gothic" w:hAnsi="Times New Roman" w:cs="Times New Roman"/>
                <w:sz w:val="28"/>
                <w:szCs w:val="28"/>
                <w:lang w:val="en-US"/>
              </w:rPr>
              <w:t xml:space="preserve">Khoản 3Điều 7 Thông tư 85/2019/TT-BTC ngày 29 tháng 11 năm 2019 của Bộ trưởng Bộ Tài chính quy định </w:t>
            </w:r>
            <w:r w:rsidRPr="009B3FEE">
              <w:rPr>
                <w:rFonts w:ascii="Times New Roman" w:eastAsia="Yu Gothic" w:hAnsi="Times New Roman" w:cs="Times New Roman"/>
                <w:i/>
                <w:sz w:val="28"/>
                <w:szCs w:val="28"/>
                <w:lang w:val="en-US"/>
              </w:rPr>
              <w:t>“3. Đối với lệ phí, tổ chức thu lệ phí nộp 100% số tiền lệ phí thu được vào ngân sách nhà nước.”</w:t>
            </w:r>
          </w:p>
        </w:tc>
      </w:tr>
      <w:tr w:rsidR="009B3FEE" w:rsidRPr="009B3FEE" w14:paraId="1585C0B4" w14:textId="77777777" w:rsidTr="009B3FEE">
        <w:tc>
          <w:tcPr>
            <w:tcW w:w="286" w:type="pct"/>
          </w:tcPr>
          <w:p w14:paraId="6ACBFB52" w14:textId="3881BE42" w:rsidR="009B3FEE" w:rsidRPr="009B3FEE" w:rsidRDefault="009B3FEE" w:rsidP="00FF6F09">
            <w:pPr>
              <w:widowControl/>
              <w:spacing w:before="120" w:after="120" w:line="264" w:lineRule="auto"/>
              <w:jc w:val="both"/>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5</w:t>
            </w:r>
          </w:p>
        </w:tc>
        <w:tc>
          <w:tcPr>
            <w:tcW w:w="2428" w:type="pct"/>
            <w:vAlign w:val="center"/>
          </w:tcPr>
          <w:p w14:paraId="094ABA22" w14:textId="77777777" w:rsidR="009B3FEE" w:rsidRPr="009B3FEE" w:rsidRDefault="009B3FEE" w:rsidP="009B3FEE">
            <w:pPr>
              <w:widowControl/>
              <w:spacing w:before="120" w:after="120" w:line="264" w:lineRule="auto"/>
              <w:jc w:val="both"/>
              <w:rPr>
                <w:rFonts w:ascii="Times New Roman" w:hAnsi="Times New Roman" w:cs="Times New Roman"/>
                <w:color w:val="auto"/>
                <w:sz w:val="28"/>
                <w:szCs w:val="28"/>
                <w:lang w:val="nl-NL" w:eastAsia="en-US"/>
              </w:rPr>
            </w:pPr>
            <w:r w:rsidRPr="009B3FEE">
              <w:rPr>
                <w:rFonts w:ascii="Times New Roman" w:hAnsi="Times New Roman" w:cs="Times New Roman"/>
                <w:b/>
                <w:bCs/>
                <w:color w:val="auto"/>
                <w:sz w:val="28"/>
                <w:szCs w:val="28"/>
                <w:lang w:val="nl-NL" w:eastAsia="en-US"/>
              </w:rPr>
              <w:t>Điều 3.</w:t>
            </w:r>
            <w:r w:rsidRPr="009B3FEE">
              <w:rPr>
                <w:rFonts w:ascii="Times New Roman" w:hAnsi="Times New Roman" w:cs="Times New Roman"/>
                <w:color w:val="auto"/>
                <w:sz w:val="28"/>
                <w:szCs w:val="28"/>
                <w:lang w:val="nl-NL" w:eastAsia="en-US"/>
              </w:rPr>
              <w:t xml:space="preserve"> </w:t>
            </w:r>
            <w:r w:rsidRPr="009B3FEE">
              <w:rPr>
                <w:rFonts w:ascii="Times New Roman" w:hAnsi="Times New Roman" w:cs="Times New Roman"/>
                <w:b/>
                <w:color w:val="auto"/>
                <w:sz w:val="28"/>
                <w:szCs w:val="28"/>
                <w:lang w:val="nl-NL" w:eastAsia="en-US"/>
              </w:rPr>
              <w:t>Tổ chức thực hiện</w:t>
            </w:r>
          </w:p>
          <w:p w14:paraId="12D365C6" w14:textId="77777777" w:rsidR="009B3FEE" w:rsidRPr="009B3FEE" w:rsidRDefault="009B3FEE" w:rsidP="00D028BB">
            <w:pPr>
              <w:widowControl/>
              <w:spacing w:before="120" w:after="120" w:line="264" w:lineRule="auto"/>
              <w:jc w:val="both"/>
              <w:rPr>
                <w:rFonts w:ascii="Times New Roman" w:hAnsi="Times New Roman" w:cs="Times New Roman"/>
                <w:color w:val="auto"/>
                <w:sz w:val="28"/>
                <w:szCs w:val="28"/>
                <w:lang w:val="en-US" w:eastAsia="en-US"/>
              </w:rPr>
            </w:pPr>
            <w:r w:rsidRPr="009B3FEE">
              <w:rPr>
                <w:rFonts w:ascii="Times New Roman" w:hAnsi="Times New Roman" w:cs="Times New Roman"/>
                <w:color w:val="auto"/>
                <w:sz w:val="28"/>
                <w:szCs w:val="28"/>
                <w:lang w:val="nl-NL" w:eastAsia="en-US"/>
              </w:rPr>
              <w:t>1. Hội đồng nhân dân tỉnh giao Ủy ban nhân dân tỉnh tổ chức triển khai thực hiện Nghị quyết, báo cáo Hội đồng nhân dân tỉnh kết quả thực hiện theo quy định.</w:t>
            </w:r>
          </w:p>
          <w:p w14:paraId="52F411FA" w14:textId="77777777" w:rsidR="009B3FEE" w:rsidRPr="009B3FEE" w:rsidRDefault="009B3FEE" w:rsidP="00D028BB">
            <w:pPr>
              <w:widowControl/>
              <w:spacing w:before="120" w:line="264" w:lineRule="auto"/>
              <w:jc w:val="both"/>
              <w:rPr>
                <w:rFonts w:ascii="Times New Roman" w:hAnsi="Times New Roman" w:cs="Times New Roman"/>
                <w:color w:val="auto"/>
                <w:sz w:val="28"/>
                <w:szCs w:val="28"/>
                <w:lang w:val="nl-NL" w:eastAsia="en-US"/>
              </w:rPr>
            </w:pPr>
            <w:r w:rsidRPr="009B3FEE">
              <w:rPr>
                <w:rFonts w:ascii="Times New Roman" w:hAnsi="Times New Roman" w:cs="Times New Roman"/>
                <w:color w:val="auto"/>
                <w:sz w:val="28"/>
                <w:szCs w:val="28"/>
                <w:lang w:val="nl-NL" w:eastAsia="en-US"/>
              </w:rPr>
              <w:t>2. Giao Thường trực Hội đồng nhân dân tỉnh, các Ban của Hội đồng nhân dân tỉnh, các Tổ đại biểu Hội đồng nhân dân tỉnh và các đại biểu Hội đồng nhân dân tỉnh giám sát việc thực hiện Nghị quyết.</w:t>
            </w:r>
          </w:p>
          <w:p w14:paraId="2E7557A6" w14:textId="77777777" w:rsidR="009B3FEE" w:rsidRPr="009B3FEE" w:rsidRDefault="009B3FEE" w:rsidP="00C53D16">
            <w:pPr>
              <w:widowControl/>
              <w:spacing w:before="120" w:after="120" w:line="264" w:lineRule="auto"/>
              <w:jc w:val="both"/>
              <w:rPr>
                <w:rFonts w:ascii="Times New Roman" w:hAnsi="Times New Roman" w:cs="Times New Roman"/>
                <w:color w:val="auto"/>
                <w:sz w:val="28"/>
                <w:szCs w:val="28"/>
                <w:lang w:val="en-US" w:eastAsia="en-US"/>
              </w:rPr>
            </w:pPr>
          </w:p>
        </w:tc>
        <w:tc>
          <w:tcPr>
            <w:tcW w:w="2286" w:type="pct"/>
            <w:vAlign w:val="center"/>
          </w:tcPr>
          <w:p w14:paraId="66B053A5" w14:textId="77777777" w:rsidR="009B3FEE" w:rsidRPr="009B3FEE" w:rsidRDefault="009B3FEE" w:rsidP="00720517">
            <w:pPr>
              <w:ind w:left="145" w:right="130"/>
              <w:jc w:val="both"/>
              <w:rPr>
                <w:rFonts w:ascii="Times New Roman" w:eastAsia="Yu Gothic" w:hAnsi="Times New Roman" w:cs="Times New Roman"/>
                <w:sz w:val="28"/>
                <w:szCs w:val="28"/>
                <w:lang w:val="en-US"/>
              </w:rPr>
            </w:pPr>
          </w:p>
        </w:tc>
      </w:tr>
      <w:tr w:rsidR="009B3FEE" w:rsidRPr="009B3FEE" w14:paraId="0DDCCC44" w14:textId="77777777" w:rsidTr="009B3FEE">
        <w:tc>
          <w:tcPr>
            <w:tcW w:w="286" w:type="pct"/>
          </w:tcPr>
          <w:p w14:paraId="1866F62C" w14:textId="646CC191" w:rsidR="009B3FEE" w:rsidRPr="009B3FEE" w:rsidRDefault="009B3FEE" w:rsidP="00FF6F09">
            <w:pPr>
              <w:widowControl/>
              <w:spacing w:before="120" w:after="120" w:line="264" w:lineRule="auto"/>
              <w:jc w:val="both"/>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6</w:t>
            </w:r>
          </w:p>
        </w:tc>
        <w:tc>
          <w:tcPr>
            <w:tcW w:w="2428" w:type="pct"/>
            <w:vAlign w:val="center"/>
          </w:tcPr>
          <w:p w14:paraId="4B38CEA3" w14:textId="77777777" w:rsidR="009B3FEE" w:rsidRPr="009B3FEE" w:rsidRDefault="009B3FEE" w:rsidP="009B3FEE">
            <w:pPr>
              <w:widowControl/>
              <w:spacing w:before="120" w:line="264" w:lineRule="auto"/>
              <w:jc w:val="both"/>
              <w:rPr>
                <w:rFonts w:ascii="Times New Roman" w:hAnsi="Times New Roman" w:cs="Times New Roman"/>
                <w:color w:val="auto"/>
                <w:sz w:val="28"/>
                <w:szCs w:val="28"/>
                <w:lang w:val="nl-NL" w:eastAsia="en-US"/>
              </w:rPr>
            </w:pPr>
            <w:r w:rsidRPr="009B3FEE">
              <w:rPr>
                <w:rFonts w:ascii="Times New Roman" w:hAnsi="Times New Roman" w:cs="Times New Roman"/>
                <w:b/>
                <w:color w:val="auto"/>
                <w:sz w:val="28"/>
                <w:szCs w:val="28"/>
                <w:lang w:val="nl-NL" w:eastAsia="en-US"/>
              </w:rPr>
              <w:t>Điều 4.</w:t>
            </w:r>
            <w:r w:rsidRPr="009B3FEE">
              <w:rPr>
                <w:rFonts w:ascii="Times New Roman" w:hAnsi="Times New Roman" w:cs="Times New Roman"/>
                <w:color w:val="auto"/>
                <w:sz w:val="28"/>
                <w:szCs w:val="28"/>
                <w:lang w:val="nl-NL" w:eastAsia="en-US"/>
              </w:rPr>
              <w:t xml:space="preserve"> </w:t>
            </w:r>
            <w:r w:rsidRPr="009B3FEE">
              <w:rPr>
                <w:rFonts w:ascii="Times New Roman" w:hAnsi="Times New Roman" w:cs="Times New Roman"/>
                <w:b/>
                <w:color w:val="auto"/>
                <w:sz w:val="28"/>
                <w:szCs w:val="28"/>
                <w:lang w:val="nl-NL" w:eastAsia="en-US"/>
              </w:rPr>
              <w:t>Điều khoản thi hành</w:t>
            </w:r>
          </w:p>
          <w:p w14:paraId="5D5C2C30" w14:textId="77777777" w:rsidR="009B3FEE" w:rsidRPr="009B3FEE" w:rsidRDefault="009B3FEE" w:rsidP="00D028BB">
            <w:pPr>
              <w:widowControl/>
              <w:spacing w:before="120" w:line="264" w:lineRule="auto"/>
              <w:jc w:val="both"/>
              <w:rPr>
                <w:rFonts w:ascii="Times New Roman" w:hAnsi="Times New Roman" w:cs="Times New Roman"/>
                <w:color w:val="auto"/>
                <w:sz w:val="28"/>
                <w:szCs w:val="28"/>
                <w:lang w:val="nl-NL" w:eastAsia="en-US"/>
              </w:rPr>
            </w:pPr>
            <w:r w:rsidRPr="009B3FEE">
              <w:rPr>
                <w:rFonts w:ascii="Times New Roman" w:hAnsi="Times New Roman" w:cs="Times New Roman"/>
                <w:color w:val="auto"/>
                <w:sz w:val="28"/>
                <w:szCs w:val="28"/>
                <w:lang w:val="nl-NL" w:eastAsia="en-US"/>
              </w:rPr>
              <w:t>1. Nghị quyết này có hiệu lực thi hành kể từ ngày    tháng     năm 2025.</w:t>
            </w:r>
          </w:p>
          <w:p w14:paraId="341819A3" w14:textId="77777777" w:rsidR="009B3FEE" w:rsidRPr="009B3FEE" w:rsidRDefault="009B3FEE" w:rsidP="009B3FEE">
            <w:pPr>
              <w:widowControl/>
              <w:spacing w:before="120" w:line="264" w:lineRule="auto"/>
              <w:ind w:firstLine="720"/>
              <w:jc w:val="both"/>
              <w:rPr>
                <w:rFonts w:ascii="Times New Roman" w:hAnsi="Times New Roman" w:cs="Times New Roman"/>
                <w:color w:val="auto"/>
                <w:sz w:val="28"/>
                <w:szCs w:val="28"/>
                <w:lang w:val="nl-NL" w:eastAsia="en-US"/>
              </w:rPr>
            </w:pPr>
            <w:r w:rsidRPr="009B3FEE">
              <w:rPr>
                <w:rFonts w:ascii="Times New Roman" w:hAnsi="Times New Roman" w:cs="Times New Roman"/>
                <w:i/>
                <w:color w:val="auto"/>
                <w:sz w:val="28"/>
                <w:szCs w:val="28"/>
                <w:lang w:val="nl-NL" w:eastAsia="en-US"/>
              </w:rPr>
              <w:lastRenderedPageBreak/>
              <w:t xml:space="preserve">2. Nghị quyết số 44/2017/NQ-HĐND ngày 21 tháng 7 năm 2017 của Hội đồng nhân dân tỉnh Lạng Sơn về mức thu và tỷ lệ phần trăm (%) được trích để lại cho cơ quan tổ chức thu lệ phí hộ tịch trên địa bàn tỉnh Lạng Sơn </w:t>
            </w:r>
            <w:r w:rsidRPr="009B3FEE">
              <w:rPr>
                <w:rFonts w:ascii="Times New Roman" w:hAnsi="Times New Roman" w:cs="Times New Roman"/>
                <w:b/>
                <w:i/>
                <w:color w:val="auto"/>
                <w:sz w:val="28"/>
                <w:szCs w:val="28"/>
                <w:lang w:val="nl-NL" w:eastAsia="en-US"/>
              </w:rPr>
              <w:t>hết hiệu lực thi hành kể từ ngày Nghị quyết này có hiệu lực thi hành</w:t>
            </w:r>
            <w:r w:rsidRPr="009B3FEE">
              <w:rPr>
                <w:rFonts w:ascii="Times New Roman" w:hAnsi="Times New Roman" w:cs="Times New Roman"/>
                <w:color w:val="auto"/>
                <w:sz w:val="28"/>
                <w:szCs w:val="28"/>
                <w:lang w:val="nl-NL" w:eastAsia="en-US"/>
              </w:rPr>
              <w:t>.</w:t>
            </w:r>
          </w:p>
          <w:p w14:paraId="40FEB5F9" w14:textId="77777777" w:rsidR="009B3FEE" w:rsidRPr="009B3FEE" w:rsidRDefault="009B3FEE" w:rsidP="009B3FEE">
            <w:pPr>
              <w:widowControl/>
              <w:spacing w:before="120" w:after="120" w:line="264" w:lineRule="auto"/>
              <w:ind w:firstLine="720"/>
              <w:jc w:val="both"/>
              <w:rPr>
                <w:rFonts w:ascii="Times New Roman" w:hAnsi="Times New Roman" w:cs="Times New Roman"/>
                <w:b/>
                <w:bCs/>
                <w:color w:val="auto"/>
                <w:sz w:val="28"/>
                <w:szCs w:val="28"/>
                <w:lang w:val="nl-NL" w:eastAsia="en-US"/>
              </w:rPr>
            </w:pPr>
          </w:p>
        </w:tc>
        <w:tc>
          <w:tcPr>
            <w:tcW w:w="2286" w:type="pct"/>
            <w:vAlign w:val="center"/>
          </w:tcPr>
          <w:p w14:paraId="0697EFF2" w14:textId="546E05D5" w:rsidR="009B3FEE" w:rsidRPr="009B3FEE" w:rsidRDefault="009B3FEE" w:rsidP="00720517">
            <w:pPr>
              <w:ind w:left="145" w:right="130"/>
              <w:jc w:val="both"/>
              <w:rPr>
                <w:rFonts w:ascii="Times New Roman" w:eastAsia="Yu Gothic" w:hAnsi="Times New Roman" w:cs="Times New Roman"/>
                <w:sz w:val="28"/>
                <w:szCs w:val="28"/>
                <w:lang w:val="en-US"/>
              </w:rPr>
            </w:pPr>
          </w:p>
        </w:tc>
      </w:tr>
    </w:tbl>
    <w:p w14:paraId="4AFB1D70" w14:textId="4F5F72E0" w:rsidR="009B0113" w:rsidRPr="000B3532" w:rsidRDefault="009B0113" w:rsidP="000B3532">
      <w:pPr>
        <w:rPr>
          <w:rFonts w:ascii="Times New Roman" w:hAnsi="Times New Roman" w:cs="Times New Roman"/>
        </w:rPr>
      </w:pPr>
    </w:p>
    <w:sectPr w:rsidR="009B0113" w:rsidRPr="000B3532" w:rsidSect="009B3FEE">
      <w:headerReference w:type="even" r:id="rId8"/>
      <w:headerReference w:type="default" r:id="rId9"/>
      <w:pgSz w:w="16840" w:h="11907" w:orient="landscape" w:code="9"/>
      <w:pgMar w:top="851" w:right="1134" w:bottom="1134" w:left="1134"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11B73" w14:textId="77777777" w:rsidR="00B1268C" w:rsidRDefault="00B1268C">
      <w:r>
        <w:separator/>
      </w:r>
    </w:p>
  </w:endnote>
  <w:endnote w:type="continuationSeparator" w:id="0">
    <w:p w14:paraId="58B8E31B" w14:textId="77777777" w:rsidR="00B1268C" w:rsidRDefault="00B1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D5ED" w14:textId="77777777" w:rsidR="00B1268C" w:rsidRDefault="00B1268C">
      <w:r>
        <w:separator/>
      </w:r>
    </w:p>
  </w:footnote>
  <w:footnote w:type="continuationSeparator" w:id="0">
    <w:p w14:paraId="239B08CD" w14:textId="77777777" w:rsidR="00B1268C" w:rsidRDefault="00B126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A470" w14:textId="77777777" w:rsidR="000E1768" w:rsidRDefault="000E1768">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01065"/>
      <w:docPartObj>
        <w:docPartGallery w:val="Page Numbers (Top of Page)"/>
        <w:docPartUnique/>
      </w:docPartObj>
    </w:sdtPr>
    <w:sdtEndPr>
      <w:rPr>
        <w:noProof/>
      </w:rPr>
    </w:sdtEndPr>
    <w:sdtContent>
      <w:p w14:paraId="654AE098" w14:textId="2AFBDF62" w:rsidR="009B3FEE" w:rsidRDefault="009B3FEE">
        <w:pPr>
          <w:pStyle w:val="Header"/>
          <w:jc w:val="center"/>
        </w:pPr>
        <w:r>
          <w:fldChar w:fldCharType="begin"/>
        </w:r>
        <w:r>
          <w:instrText xml:space="preserve"> PAGE   \* MERGEFORMAT </w:instrText>
        </w:r>
        <w:r>
          <w:fldChar w:fldCharType="separate"/>
        </w:r>
        <w:r w:rsidR="007A2DA2">
          <w:rPr>
            <w:noProof/>
          </w:rPr>
          <w:t>2</w:t>
        </w:r>
        <w:r>
          <w:rPr>
            <w:noProof/>
          </w:rPr>
          <w:fldChar w:fldCharType="end"/>
        </w:r>
      </w:p>
    </w:sdtContent>
  </w:sdt>
  <w:p w14:paraId="491E7E50" w14:textId="77777777" w:rsidR="009B3FEE" w:rsidRDefault="009B3F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30495"/>
    <w:multiLevelType w:val="hybridMultilevel"/>
    <w:tmpl w:val="8D267AE2"/>
    <w:lvl w:ilvl="0" w:tplc="25DA5DC4">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 w15:restartNumberingAfterBreak="0">
    <w:nsid w:val="5B883463"/>
    <w:multiLevelType w:val="hybridMultilevel"/>
    <w:tmpl w:val="4FB8DC3A"/>
    <w:lvl w:ilvl="0" w:tplc="21484D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68"/>
    <w:rsid w:val="00022B2A"/>
    <w:rsid w:val="000706C7"/>
    <w:rsid w:val="000A3270"/>
    <w:rsid w:val="000B3532"/>
    <w:rsid w:val="000E0E12"/>
    <w:rsid w:val="000E1768"/>
    <w:rsid w:val="001559BA"/>
    <w:rsid w:val="00162399"/>
    <w:rsid w:val="00166829"/>
    <w:rsid w:val="0017514F"/>
    <w:rsid w:val="001A236A"/>
    <w:rsid w:val="001A7AEE"/>
    <w:rsid w:val="001E7E92"/>
    <w:rsid w:val="002B6125"/>
    <w:rsid w:val="002B61B5"/>
    <w:rsid w:val="002C5709"/>
    <w:rsid w:val="002D1730"/>
    <w:rsid w:val="003252DE"/>
    <w:rsid w:val="00335D1B"/>
    <w:rsid w:val="0037060A"/>
    <w:rsid w:val="003B74D9"/>
    <w:rsid w:val="003F5985"/>
    <w:rsid w:val="0041217B"/>
    <w:rsid w:val="00435CAC"/>
    <w:rsid w:val="00447626"/>
    <w:rsid w:val="00481C46"/>
    <w:rsid w:val="004C76AE"/>
    <w:rsid w:val="004F7B7F"/>
    <w:rsid w:val="005261ED"/>
    <w:rsid w:val="00554225"/>
    <w:rsid w:val="005A17E4"/>
    <w:rsid w:val="005A1BA2"/>
    <w:rsid w:val="005A6664"/>
    <w:rsid w:val="00612D3D"/>
    <w:rsid w:val="00644FB6"/>
    <w:rsid w:val="00647373"/>
    <w:rsid w:val="00656270"/>
    <w:rsid w:val="00673AD9"/>
    <w:rsid w:val="0069759B"/>
    <w:rsid w:val="006F3D68"/>
    <w:rsid w:val="00720517"/>
    <w:rsid w:val="00720C5C"/>
    <w:rsid w:val="00721778"/>
    <w:rsid w:val="00754D52"/>
    <w:rsid w:val="0076658D"/>
    <w:rsid w:val="00780B07"/>
    <w:rsid w:val="00797DF2"/>
    <w:rsid w:val="007A2DA2"/>
    <w:rsid w:val="007C1FD2"/>
    <w:rsid w:val="007C51CB"/>
    <w:rsid w:val="008211B7"/>
    <w:rsid w:val="008622A3"/>
    <w:rsid w:val="00881E3E"/>
    <w:rsid w:val="0091088D"/>
    <w:rsid w:val="0093217C"/>
    <w:rsid w:val="00951C13"/>
    <w:rsid w:val="00975209"/>
    <w:rsid w:val="00984261"/>
    <w:rsid w:val="009B0113"/>
    <w:rsid w:val="009B15CA"/>
    <w:rsid w:val="009B3FEE"/>
    <w:rsid w:val="009E187A"/>
    <w:rsid w:val="009F3F8D"/>
    <w:rsid w:val="00A11F41"/>
    <w:rsid w:val="00A2139C"/>
    <w:rsid w:val="00A90457"/>
    <w:rsid w:val="00AB0FAB"/>
    <w:rsid w:val="00AD0D9C"/>
    <w:rsid w:val="00AE71B1"/>
    <w:rsid w:val="00B1268C"/>
    <w:rsid w:val="00B25981"/>
    <w:rsid w:val="00B71187"/>
    <w:rsid w:val="00B9548C"/>
    <w:rsid w:val="00BA7464"/>
    <w:rsid w:val="00BA7716"/>
    <w:rsid w:val="00BE7689"/>
    <w:rsid w:val="00BF120D"/>
    <w:rsid w:val="00C505ED"/>
    <w:rsid w:val="00C53D16"/>
    <w:rsid w:val="00C54D3F"/>
    <w:rsid w:val="00C9080B"/>
    <w:rsid w:val="00CD1425"/>
    <w:rsid w:val="00D028BB"/>
    <w:rsid w:val="00D522BB"/>
    <w:rsid w:val="00D55BD5"/>
    <w:rsid w:val="00D755B3"/>
    <w:rsid w:val="00DC1386"/>
    <w:rsid w:val="00DD613A"/>
    <w:rsid w:val="00E139CC"/>
    <w:rsid w:val="00E71B0C"/>
    <w:rsid w:val="00E9068D"/>
    <w:rsid w:val="00EC2807"/>
    <w:rsid w:val="00EC34B2"/>
    <w:rsid w:val="00F03BCA"/>
    <w:rsid w:val="00F1342E"/>
    <w:rsid w:val="00F135C2"/>
    <w:rsid w:val="00F23074"/>
    <w:rsid w:val="00F677BA"/>
    <w:rsid w:val="00F74648"/>
    <w:rsid w:val="00F7486A"/>
    <w:rsid w:val="00FB6B5D"/>
    <w:rsid w:val="00FC3302"/>
    <w:rsid w:val="00FC6D9F"/>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A623"/>
  <w15:docId w15:val="{AF88662B-1497-49FD-B935-9D55B359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68"/>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768"/>
    <w:rPr>
      <w:rFonts w:ascii="Courier New" w:eastAsia="Times New Roman"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3532"/>
    <w:rPr>
      <w:b/>
      <w:bCs/>
    </w:rPr>
  </w:style>
  <w:style w:type="paragraph" w:styleId="BodyText">
    <w:name w:val="Body Text"/>
    <w:basedOn w:val="Normal"/>
    <w:link w:val="BodyTextChar"/>
    <w:rsid w:val="000B3532"/>
    <w:pPr>
      <w:widowControl/>
      <w:spacing w:after="120"/>
    </w:pPr>
    <w:rPr>
      <w:rFonts w:ascii="Times New Roman" w:eastAsia="Batang" w:hAnsi="Times New Roman" w:cs="Times New Roman"/>
      <w:noProof/>
      <w:color w:val="auto"/>
      <w:lang w:val="en-US" w:eastAsia="ko-KR"/>
    </w:rPr>
  </w:style>
  <w:style w:type="character" w:customStyle="1" w:styleId="BodyTextChar">
    <w:name w:val="Body Text Char"/>
    <w:basedOn w:val="DefaultParagraphFont"/>
    <w:link w:val="BodyText"/>
    <w:rsid w:val="000B3532"/>
    <w:rPr>
      <w:rFonts w:ascii="Times New Roman" w:eastAsia="Batang" w:hAnsi="Times New Roman"/>
      <w:noProof/>
      <w:sz w:val="24"/>
      <w:szCs w:val="24"/>
      <w:lang w:eastAsia="ko-KR"/>
    </w:rPr>
  </w:style>
  <w:style w:type="paragraph" w:styleId="NormalWeb">
    <w:name w:val="Normal (Web)"/>
    <w:basedOn w:val="Normal"/>
    <w:rsid w:val="000A3270"/>
    <w:pPr>
      <w:widowControl/>
      <w:spacing w:before="100" w:beforeAutospacing="1" w:after="100" w:afterAutospacing="1"/>
    </w:pPr>
    <w:rPr>
      <w:rFonts w:ascii="Times New Roman" w:hAnsi="Times New Roman" w:cs="Times New Roman"/>
      <w:noProof/>
      <w:color w:val="auto"/>
      <w:sz w:val="29"/>
      <w:szCs w:val="29"/>
      <w:lang w:val="en-US" w:eastAsia="en-US"/>
    </w:rPr>
  </w:style>
  <w:style w:type="paragraph" w:styleId="BalloonText">
    <w:name w:val="Balloon Text"/>
    <w:basedOn w:val="Normal"/>
    <w:link w:val="BalloonTextChar"/>
    <w:uiPriority w:val="99"/>
    <w:semiHidden/>
    <w:unhideWhenUsed/>
    <w:rsid w:val="00FC6D9F"/>
    <w:rPr>
      <w:rFonts w:ascii="Tahoma" w:hAnsi="Tahoma" w:cs="Tahoma"/>
      <w:sz w:val="16"/>
      <w:szCs w:val="16"/>
    </w:rPr>
  </w:style>
  <w:style w:type="character" w:customStyle="1" w:styleId="BalloonTextChar">
    <w:name w:val="Balloon Text Char"/>
    <w:basedOn w:val="DefaultParagraphFont"/>
    <w:link w:val="BalloonText"/>
    <w:uiPriority w:val="99"/>
    <w:semiHidden/>
    <w:rsid w:val="00FC6D9F"/>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C53D16"/>
    <w:pPr>
      <w:ind w:left="720"/>
      <w:contextualSpacing/>
    </w:pPr>
  </w:style>
  <w:style w:type="paragraph" w:styleId="Header">
    <w:name w:val="header"/>
    <w:basedOn w:val="Normal"/>
    <w:link w:val="HeaderChar"/>
    <w:uiPriority w:val="99"/>
    <w:unhideWhenUsed/>
    <w:rsid w:val="009B3FEE"/>
    <w:pPr>
      <w:tabs>
        <w:tab w:val="center" w:pos="4680"/>
        <w:tab w:val="right" w:pos="9360"/>
      </w:tabs>
    </w:pPr>
  </w:style>
  <w:style w:type="character" w:customStyle="1" w:styleId="HeaderChar">
    <w:name w:val="Header Char"/>
    <w:basedOn w:val="DefaultParagraphFont"/>
    <w:link w:val="Header"/>
    <w:uiPriority w:val="99"/>
    <w:rsid w:val="009B3FEE"/>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9B3FEE"/>
    <w:pPr>
      <w:tabs>
        <w:tab w:val="center" w:pos="4680"/>
        <w:tab w:val="right" w:pos="9360"/>
      </w:tabs>
    </w:pPr>
  </w:style>
  <w:style w:type="character" w:customStyle="1" w:styleId="FooterChar">
    <w:name w:val="Footer Char"/>
    <w:basedOn w:val="DefaultParagraphFont"/>
    <w:link w:val="Footer"/>
    <w:uiPriority w:val="99"/>
    <w:rsid w:val="009B3FEE"/>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User</cp:lastModifiedBy>
  <cp:revision>5</cp:revision>
  <cp:lastPrinted>2025-05-06T06:44:00Z</cp:lastPrinted>
  <dcterms:created xsi:type="dcterms:W3CDTF">2025-05-19T03:36:00Z</dcterms:created>
  <dcterms:modified xsi:type="dcterms:W3CDTF">2025-06-05T09:47:00Z</dcterms:modified>
</cp:coreProperties>
</file>