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48D1" w14:textId="415A721F" w:rsidR="00526009" w:rsidRPr="00065544" w:rsidRDefault="009E4A77" w:rsidP="00DC21DA">
      <w:pPr>
        <w:jc w:val="center"/>
        <w:rPr>
          <w:b/>
        </w:rPr>
      </w:pPr>
      <w:r w:rsidRPr="00065544">
        <w:rPr>
          <w:b/>
        </w:rPr>
        <w:t>Phụ lục</w:t>
      </w:r>
    </w:p>
    <w:p w14:paraId="09DFE067" w14:textId="77777777" w:rsidR="00B8348D" w:rsidRPr="00065544" w:rsidRDefault="00526009" w:rsidP="00B8348D">
      <w:pPr>
        <w:jc w:val="center"/>
        <w:rPr>
          <w:b/>
          <w:sz w:val="26"/>
          <w:lang w:val="nb-NO"/>
        </w:rPr>
      </w:pPr>
      <w:r w:rsidRPr="00065544">
        <w:rPr>
          <w:b/>
          <w:sz w:val="26"/>
          <w:lang w:val="nb-NO"/>
        </w:rPr>
        <w:t>DANH MỤC THỦ TỤC HÀNH CHÍNH ĐƯỢC SỬA ĐỔI, BỔ SUNG</w:t>
      </w:r>
      <w:r w:rsidR="007166E0" w:rsidRPr="00065544">
        <w:rPr>
          <w:b/>
          <w:sz w:val="26"/>
          <w:lang w:val="nb-NO"/>
        </w:rPr>
        <w:t xml:space="preserve"> </w:t>
      </w:r>
      <w:r w:rsidRPr="00065544">
        <w:rPr>
          <w:b/>
          <w:sz w:val="26"/>
          <w:lang w:val="nb-NO"/>
        </w:rPr>
        <w:t xml:space="preserve">TRONG LĨNH VỰC TRỢ </w:t>
      </w:r>
    </w:p>
    <w:p w14:paraId="607ED549" w14:textId="19DE8D4F" w:rsidR="00526009" w:rsidRPr="00065544" w:rsidRDefault="00526009" w:rsidP="00B8348D">
      <w:pPr>
        <w:jc w:val="center"/>
        <w:rPr>
          <w:b/>
          <w:sz w:val="26"/>
          <w:lang w:val="nb-NO"/>
        </w:rPr>
      </w:pPr>
      <w:r w:rsidRPr="00065544">
        <w:rPr>
          <w:b/>
          <w:sz w:val="26"/>
          <w:lang w:val="nb-NO"/>
        </w:rPr>
        <w:t>GIÚP PHÁP LÝ</w:t>
      </w:r>
      <w:r w:rsidRPr="00065544">
        <w:rPr>
          <w:b/>
          <w:sz w:val="26"/>
          <w:lang w:val="vi-VN"/>
        </w:rPr>
        <w:t xml:space="preserve"> </w:t>
      </w:r>
      <w:r w:rsidRPr="00065544">
        <w:rPr>
          <w:b/>
          <w:sz w:val="26"/>
          <w:lang w:val="nb-NO"/>
        </w:rPr>
        <w:t>THUỘC THẨM QUYỀN GIẢI QUYẾT</w:t>
      </w:r>
      <w:r w:rsidR="007166E0" w:rsidRPr="00065544">
        <w:rPr>
          <w:b/>
          <w:sz w:val="26"/>
          <w:lang w:val="nb-NO"/>
        </w:rPr>
        <w:t xml:space="preserve"> </w:t>
      </w:r>
      <w:r w:rsidRPr="00065544">
        <w:rPr>
          <w:b/>
          <w:sz w:val="26"/>
          <w:lang w:val="nb-NO"/>
        </w:rPr>
        <w:t>CỦA SỞ TƯ PHÁP TỈNH LẠNG SƠN</w:t>
      </w:r>
      <w:r w:rsidR="00B8348D" w:rsidRPr="00065544">
        <w:rPr>
          <w:b/>
          <w:sz w:val="26"/>
          <w:lang w:val="nb-NO"/>
        </w:rPr>
        <w:t xml:space="preserve"> (01 TTHC) </w:t>
      </w:r>
    </w:p>
    <w:p w14:paraId="7CC94B93" w14:textId="1EA6E4B2" w:rsidR="00526009" w:rsidRPr="00065544" w:rsidRDefault="00526009" w:rsidP="00DC21DA">
      <w:pPr>
        <w:jc w:val="center"/>
        <w:rPr>
          <w:i/>
          <w:sz w:val="26"/>
          <w:lang w:val="nb-NO"/>
        </w:rPr>
      </w:pPr>
      <w:r w:rsidRPr="00065544">
        <w:rPr>
          <w:i/>
          <w:sz w:val="26"/>
          <w:lang w:val="nb-NO"/>
        </w:rPr>
        <w:t>(Kèm theo Quyết định số</w:t>
      </w:r>
      <w:r w:rsidR="00D67A16" w:rsidRPr="00065544">
        <w:rPr>
          <w:i/>
          <w:sz w:val="26"/>
          <w:lang w:val="nb-NO"/>
        </w:rPr>
        <w:t xml:space="preserve">: </w:t>
      </w:r>
      <w:r w:rsidRPr="00065544">
        <w:rPr>
          <w:i/>
          <w:sz w:val="26"/>
          <w:lang w:val="nb-NO"/>
        </w:rPr>
        <w:t xml:space="preserve"> </w:t>
      </w:r>
      <w:r w:rsidR="00051384">
        <w:rPr>
          <w:i/>
          <w:sz w:val="26"/>
          <w:lang w:val="nb-NO"/>
        </w:rPr>
        <w:t>35</w:t>
      </w:r>
      <w:r w:rsidR="00B8348D" w:rsidRPr="00065544">
        <w:rPr>
          <w:i/>
          <w:sz w:val="26"/>
          <w:lang w:val="nb-NO"/>
        </w:rPr>
        <w:t xml:space="preserve"> </w:t>
      </w:r>
      <w:r w:rsidRPr="00065544">
        <w:rPr>
          <w:i/>
          <w:sz w:val="26"/>
          <w:lang w:val="nb-NO"/>
        </w:rPr>
        <w:t>/QĐ-UB</w:t>
      </w:r>
      <w:r w:rsidR="00B26D63" w:rsidRPr="00065544">
        <w:rPr>
          <w:i/>
          <w:sz w:val="26"/>
          <w:lang w:val="nb-NO"/>
        </w:rPr>
        <w:t xml:space="preserve">ND ngày </w:t>
      </w:r>
      <w:r w:rsidR="00051384">
        <w:rPr>
          <w:i/>
          <w:sz w:val="26"/>
          <w:lang w:val="nb-NO"/>
        </w:rPr>
        <w:t>08</w:t>
      </w:r>
      <w:r w:rsidR="00D67A16" w:rsidRPr="00065544">
        <w:rPr>
          <w:i/>
          <w:sz w:val="26"/>
          <w:lang w:val="nb-NO"/>
        </w:rPr>
        <w:t>/</w:t>
      </w:r>
      <w:r w:rsidR="00B26D63" w:rsidRPr="00065544">
        <w:rPr>
          <w:i/>
          <w:sz w:val="26"/>
          <w:lang w:val="nb-NO"/>
        </w:rPr>
        <w:t>01</w:t>
      </w:r>
      <w:r w:rsidR="00D67A16" w:rsidRPr="00065544">
        <w:rPr>
          <w:i/>
          <w:sz w:val="26"/>
          <w:lang w:val="nb-NO"/>
        </w:rPr>
        <w:t>/</w:t>
      </w:r>
      <w:r w:rsidR="00B26D63" w:rsidRPr="00065544">
        <w:rPr>
          <w:i/>
          <w:sz w:val="26"/>
          <w:lang w:val="nb-NO"/>
        </w:rPr>
        <w:t>2026</w:t>
      </w:r>
      <w:r w:rsidRPr="00065544">
        <w:rPr>
          <w:i/>
          <w:sz w:val="26"/>
          <w:lang w:val="nb-NO"/>
        </w:rPr>
        <w:t xml:space="preserve"> của Chủ tịch UBND tỉnh Lạng Sơn)</w:t>
      </w:r>
    </w:p>
    <w:p w14:paraId="5165427C" w14:textId="77777777" w:rsidR="00526009" w:rsidRPr="00065544" w:rsidRDefault="00526009" w:rsidP="00DC21DA">
      <w:pPr>
        <w:jc w:val="center"/>
        <w:rPr>
          <w:b/>
          <w:sz w:val="26"/>
          <w:lang w:val="nb-NO"/>
        </w:rPr>
      </w:pPr>
      <w:r w:rsidRPr="00065544">
        <w:rPr>
          <w:noProof/>
        </w:rPr>
        <mc:AlternateContent>
          <mc:Choice Requires="wps">
            <w:drawing>
              <wp:anchor distT="4294967294" distB="4294967294" distL="114300" distR="114300" simplePos="0" relativeHeight="251658752" behindDoc="0" locked="0" layoutInCell="1" allowOverlap="1" wp14:anchorId="073F1BB5" wp14:editId="1B16AB13">
                <wp:simplePos x="0" y="0"/>
                <wp:positionH relativeFrom="column">
                  <wp:posOffset>3674110</wp:posOffset>
                </wp:positionH>
                <wp:positionV relativeFrom="paragraph">
                  <wp:posOffset>84455</wp:posOffset>
                </wp:positionV>
                <wp:extent cx="18916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1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A7AA3" id="Straight Connector 5"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3pt,6.65pt" to="438.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" strokeweight="1pt"/>
            </w:pict>
          </mc:Fallback>
        </mc:AlternateContent>
      </w:r>
    </w:p>
    <w:p w14:paraId="34B46118" w14:textId="77777777" w:rsidR="00526009" w:rsidRPr="00065544" w:rsidRDefault="00526009" w:rsidP="00DC21DA">
      <w:pPr>
        <w:jc w:val="center"/>
        <w:rPr>
          <w:b/>
          <w:sz w:val="18"/>
          <w:lang w:val="nb-NO"/>
        </w:rPr>
      </w:pPr>
    </w:p>
    <w:tbl>
      <w:tblPr>
        <w:tblW w:w="1531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3"/>
        <w:gridCol w:w="1560"/>
        <w:gridCol w:w="2127"/>
        <w:gridCol w:w="2268"/>
        <w:gridCol w:w="2126"/>
        <w:gridCol w:w="5675"/>
      </w:tblGrid>
      <w:tr w:rsidR="00065544" w:rsidRPr="00065544" w14:paraId="2E324213" w14:textId="77777777" w:rsidTr="00B8348D">
        <w:trPr>
          <w:trHeight w:val="838"/>
          <w:tblHeader/>
        </w:trPr>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FDAB97" w14:textId="77777777" w:rsidR="00B8348D" w:rsidRPr="00065544" w:rsidRDefault="00B8348D" w:rsidP="00DC21DA">
            <w:pPr>
              <w:jc w:val="center"/>
              <w:rPr>
                <w:b/>
                <w:spacing w:val="-4"/>
                <w:w w:val="98"/>
                <w:sz w:val="24"/>
                <w:lang w:val="vi-VN"/>
              </w:rPr>
            </w:pPr>
            <w:r w:rsidRPr="00065544">
              <w:rPr>
                <w:b/>
                <w:spacing w:val="-4"/>
                <w:w w:val="98"/>
                <w:sz w:val="24"/>
              </w:rPr>
              <w:t xml:space="preserve">Số </w:t>
            </w:r>
            <w:r w:rsidRPr="00065544">
              <w:rPr>
                <w:b/>
                <w:spacing w:val="-4"/>
                <w:w w:val="98"/>
                <w:sz w:val="24"/>
                <w:lang w:val="vi-VN"/>
              </w:rPr>
              <w:t>TT</w:t>
            </w:r>
          </w:p>
        </w:tc>
        <w:tc>
          <w:tcPr>
            <w:tcW w:w="11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AC797A" w14:textId="77777777" w:rsidR="00B8348D" w:rsidRPr="00065544" w:rsidRDefault="00B8348D" w:rsidP="00DC21DA">
            <w:pPr>
              <w:jc w:val="center"/>
              <w:rPr>
                <w:b/>
                <w:spacing w:val="-6"/>
                <w:w w:val="95"/>
                <w:sz w:val="24"/>
                <w:lang w:val="vi-VN"/>
              </w:rPr>
            </w:pPr>
            <w:r w:rsidRPr="00065544">
              <w:rPr>
                <w:b/>
                <w:spacing w:val="-6"/>
                <w:w w:val="95"/>
                <w:sz w:val="24"/>
                <w:lang w:val="vi-VN"/>
              </w:rPr>
              <w:t>Số hồ sơ  TTHC</w:t>
            </w:r>
          </w:p>
        </w:tc>
        <w:tc>
          <w:tcPr>
            <w:tcW w:w="15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BD0AF3" w14:textId="77777777" w:rsidR="00B8348D" w:rsidRPr="00065544" w:rsidRDefault="00B8348D" w:rsidP="00DC21DA">
            <w:pPr>
              <w:jc w:val="center"/>
              <w:rPr>
                <w:b/>
                <w:spacing w:val="-4"/>
                <w:w w:val="98"/>
                <w:sz w:val="24"/>
                <w:lang w:val="vi-VN"/>
              </w:rPr>
            </w:pPr>
            <w:r w:rsidRPr="00065544">
              <w:rPr>
                <w:b/>
                <w:spacing w:val="-4"/>
                <w:w w:val="98"/>
                <w:sz w:val="24"/>
                <w:lang w:val="vi-VN"/>
              </w:rPr>
              <w:t>Tên TTHC</w:t>
            </w:r>
          </w:p>
        </w:tc>
        <w:tc>
          <w:tcPr>
            <w:tcW w:w="2127" w:type="dxa"/>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6259C6A5" w14:textId="5600F030" w:rsidR="00B8348D" w:rsidRPr="00065544" w:rsidRDefault="00B8348D" w:rsidP="00DC21DA">
            <w:pPr>
              <w:jc w:val="center"/>
              <w:rPr>
                <w:b/>
                <w:spacing w:val="-4"/>
                <w:w w:val="98"/>
                <w:sz w:val="24"/>
                <w:lang w:val="vi-VN"/>
              </w:rPr>
            </w:pPr>
            <w:r w:rsidRPr="00065544">
              <w:rPr>
                <w:b/>
                <w:spacing w:val="-4"/>
                <w:w w:val="98"/>
                <w:sz w:val="24"/>
                <w:lang w:val="vi-VN"/>
              </w:rPr>
              <w:t>Thời hạn giải quyết theo quy định</w:t>
            </w:r>
          </w:p>
        </w:tc>
        <w:tc>
          <w:tcPr>
            <w:tcW w:w="22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2694E4" w14:textId="77777777" w:rsidR="00B8348D" w:rsidRPr="00065544" w:rsidRDefault="00B8348D" w:rsidP="00DC21DA">
            <w:pPr>
              <w:jc w:val="center"/>
              <w:rPr>
                <w:b/>
                <w:spacing w:val="-4"/>
                <w:w w:val="98"/>
                <w:sz w:val="24"/>
                <w:lang w:val="vi-VN"/>
              </w:rPr>
            </w:pPr>
            <w:r w:rsidRPr="00065544">
              <w:rPr>
                <w:b/>
                <w:spacing w:val="-4"/>
                <w:w w:val="98"/>
                <w:sz w:val="24"/>
                <w:lang w:val="vi-VN"/>
              </w:rPr>
              <w:t xml:space="preserve">Địa điểm </w:t>
            </w:r>
          </w:p>
          <w:p w14:paraId="482AA65A" w14:textId="77777777" w:rsidR="00B8348D" w:rsidRPr="00065544" w:rsidRDefault="00B8348D" w:rsidP="00DC21DA">
            <w:pPr>
              <w:jc w:val="center"/>
              <w:rPr>
                <w:spacing w:val="-4"/>
                <w:w w:val="98"/>
                <w:sz w:val="24"/>
                <w:lang w:val="vi-VN"/>
              </w:rPr>
            </w:pPr>
            <w:r w:rsidRPr="00065544">
              <w:rPr>
                <w:b/>
                <w:spacing w:val="-4"/>
                <w:w w:val="98"/>
                <w:sz w:val="24"/>
                <w:lang w:val="vi-VN"/>
              </w:rPr>
              <w:t>thực hiện</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3C9507" w14:textId="77777777" w:rsidR="00B8348D" w:rsidRPr="00065544" w:rsidRDefault="00B8348D" w:rsidP="00DC21DA">
            <w:pPr>
              <w:spacing w:before="120" w:after="120"/>
              <w:jc w:val="center"/>
              <w:rPr>
                <w:spacing w:val="-4"/>
                <w:w w:val="98"/>
                <w:sz w:val="24"/>
                <w:lang w:val="da-DK"/>
              </w:rPr>
            </w:pPr>
            <w:r w:rsidRPr="00065544">
              <w:rPr>
                <w:b/>
                <w:spacing w:val="-4"/>
                <w:w w:val="98"/>
                <w:sz w:val="24"/>
                <w:lang w:val="da-DK"/>
              </w:rPr>
              <w:t>Cách thức thực hiện</w:t>
            </w:r>
          </w:p>
        </w:tc>
        <w:tc>
          <w:tcPr>
            <w:tcW w:w="56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2DE836" w14:textId="77777777" w:rsidR="00B8348D" w:rsidRPr="00065544" w:rsidRDefault="00B8348D" w:rsidP="00DC21DA">
            <w:pPr>
              <w:spacing w:before="100"/>
              <w:jc w:val="center"/>
              <w:rPr>
                <w:spacing w:val="-4"/>
                <w:w w:val="98"/>
                <w:sz w:val="24"/>
                <w:lang w:val="vi-VN"/>
              </w:rPr>
            </w:pPr>
            <w:r w:rsidRPr="00065544">
              <w:rPr>
                <w:b/>
                <w:spacing w:val="-4"/>
                <w:w w:val="98"/>
                <w:sz w:val="24"/>
                <w:lang w:val="vi-VN"/>
              </w:rPr>
              <w:t>Căn cứ pháp lý</w:t>
            </w:r>
            <w:r w:rsidRPr="00065544">
              <w:rPr>
                <w:rStyle w:val="FootnoteReference"/>
                <w:b/>
                <w:spacing w:val="-4"/>
                <w:w w:val="98"/>
                <w:sz w:val="24"/>
                <w:lang w:val="vi-VN"/>
              </w:rPr>
              <w:footnoteReference w:id="1"/>
            </w:r>
          </w:p>
        </w:tc>
      </w:tr>
      <w:tr w:rsidR="00065544" w:rsidRPr="00065544" w14:paraId="33773E8F" w14:textId="77777777" w:rsidTr="00B8348D">
        <w:trPr>
          <w:trHeight w:val="880"/>
        </w:trPr>
        <w:tc>
          <w:tcPr>
            <w:tcW w:w="4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0FC38B4" w14:textId="099E9489" w:rsidR="00B8348D" w:rsidRPr="00065544" w:rsidRDefault="00B8348D" w:rsidP="00DC21DA">
            <w:pPr>
              <w:spacing w:after="60"/>
              <w:jc w:val="center"/>
              <w:rPr>
                <w:sz w:val="24"/>
                <w:szCs w:val="24"/>
                <w:lang w:val="vi-VN"/>
              </w:rPr>
            </w:pPr>
            <w:r w:rsidRPr="00065544">
              <w:rPr>
                <w:sz w:val="24"/>
                <w:szCs w:val="24"/>
              </w:rPr>
              <w:t>01</w:t>
            </w:r>
          </w:p>
        </w:tc>
        <w:tc>
          <w:tcPr>
            <w:tcW w:w="11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180E76" w14:textId="49E6D68F" w:rsidR="00B8348D" w:rsidRPr="00065544" w:rsidRDefault="00B8348D" w:rsidP="00DC21DA">
            <w:pPr>
              <w:spacing w:after="60"/>
              <w:jc w:val="center"/>
              <w:rPr>
                <w:sz w:val="24"/>
                <w:szCs w:val="24"/>
                <w:lang w:val="vi-VN"/>
              </w:rPr>
            </w:pPr>
            <w:r w:rsidRPr="00065544">
              <w:rPr>
                <w:sz w:val="24"/>
                <w:szCs w:val="24"/>
                <w:lang w:val="vi-VN"/>
              </w:rPr>
              <w:t>2.000829.000.00.00.H37</w:t>
            </w:r>
          </w:p>
        </w:tc>
        <w:tc>
          <w:tcPr>
            <w:tcW w:w="15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0EF79C4" w14:textId="37C20E2E" w:rsidR="00B8348D" w:rsidRPr="00065544" w:rsidRDefault="00B8348D" w:rsidP="00DC21DA">
            <w:pPr>
              <w:spacing w:after="60"/>
              <w:jc w:val="center"/>
              <w:rPr>
                <w:sz w:val="24"/>
                <w:szCs w:val="24"/>
                <w:lang w:val="vi-VN"/>
              </w:rPr>
            </w:pPr>
            <w:r w:rsidRPr="00065544">
              <w:rPr>
                <w:sz w:val="24"/>
                <w:szCs w:val="24"/>
                <w:lang w:val="vi-VN"/>
              </w:rPr>
              <w:t>Thủ tục yêu cầu trợ giúp pháp lý</w:t>
            </w:r>
          </w:p>
        </w:tc>
        <w:tc>
          <w:tcPr>
            <w:tcW w:w="212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B1DC8FE" w14:textId="77777777" w:rsidR="00B8348D" w:rsidRPr="00065544" w:rsidRDefault="00B8348D" w:rsidP="00694CEF">
            <w:pPr>
              <w:spacing w:after="60"/>
              <w:jc w:val="both"/>
              <w:rPr>
                <w:sz w:val="24"/>
                <w:szCs w:val="24"/>
                <w:lang w:val="vi-VN"/>
              </w:rPr>
            </w:pPr>
          </w:p>
          <w:p w14:paraId="50B4A751" w14:textId="77777777" w:rsidR="00B8348D" w:rsidRPr="00065544" w:rsidRDefault="00B8348D" w:rsidP="00694CEF">
            <w:pPr>
              <w:spacing w:after="60"/>
              <w:jc w:val="both"/>
              <w:rPr>
                <w:sz w:val="24"/>
                <w:szCs w:val="24"/>
                <w:lang w:val="vi-VN"/>
              </w:rPr>
            </w:pPr>
          </w:p>
          <w:p w14:paraId="3D83AF9C" w14:textId="77777777" w:rsidR="00B8348D" w:rsidRPr="00065544" w:rsidRDefault="00B8348D" w:rsidP="00694CEF">
            <w:pPr>
              <w:spacing w:after="60"/>
              <w:jc w:val="both"/>
              <w:rPr>
                <w:sz w:val="24"/>
                <w:szCs w:val="24"/>
                <w:lang w:val="vi-VN"/>
              </w:rPr>
            </w:pPr>
          </w:p>
          <w:p w14:paraId="4011492C" w14:textId="7FF4BDB3" w:rsidR="00B8348D" w:rsidRPr="00065544" w:rsidRDefault="00B8348D" w:rsidP="00DC21DA">
            <w:pPr>
              <w:spacing w:before="60" w:after="60"/>
              <w:jc w:val="center"/>
              <w:rPr>
                <w:b/>
                <w:spacing w:val="-4"/>
                <w:sz w:val="24"/>
                <w:szCs w:val="24"/>
                <w:lang w:val="nl-NL"/>
              </w:rPr>
            </w:pPr>
            <w:r w:rsidRPr="00065544">
              <w:rPr>
                <w:sz w:val="24"/>
                <w:szCs w:val="24"/>
                <w:lang w:val="vi-VN"/>
              </w:rPr>
              <w:t>Ngay sau khi nhận đủ hồ sơ theo quy định, người tiếp nhận yêu cầu phải kiểm tra các nội dung có liên quan đến yêu cầu trợ giúp pháp lý và trả lời ngay cho người yêu cầu về việc hồ sơ đủ điều kiện để thụ lý hoặc phải bổ sung giấy tờ, tài liệu có liên quan</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44EE88" w14:textId="77777777" w:rsidR="00B8348D" w:rsidRPr="00065544" w:rsidRDefault="00B8348D" w:rsidP="00694CEF">
            <w:pPr>
              <w:spacing w:after="60"/>
              <w:jc w:val="both"/>
              <w:rPr>
                <w:b/>
                <w:sz w:val="24"/>
                <w:szCs w:val="24"/>
                <w:lang w:val="nl-NL"/>
              </w:rPr>
            </w:pPr>
          </w:p>
          <w:p w14:paraId="157FCA46" w14:textId="77777777" w:rsidR="00B8348D" w:rsidRPr="00065544" w:rsidRDefault="00B8348D" w:rsidP="00694CEF">
            <w:pPr>
              <w:spacing w:after="60"/>
              <w:jc w:val="both"/>
              <w:rPr>
                <w:b/>
                <w:sz w:val="24"/>
                <w:szCs w:val="24"/>
                <w:lang w:val="nl-NL"/>
              </w:rPr>
            </w:pPr>
          </w:p>
          <w:p w14:paraId="5AD5F5B2" w14:textId="627FA45D" w:rsidR="00B8348D" w:rsidRPr="00065544" w:rsidRDefault="00B8348D" w:rsidP="007166E0">
            <w:pPr>
              <w:spacing w:before="120" w:after="120"/>
              <w:jc w:val="both"/>
              <w:rPr>
                <w:sz w:val="24"/>
                <w:szCs w:val="24"/>
                <w:lang w:val="nl-NL"/>
              </w:rPr>
            </w:pPr>
            <w:r w:rsidRPr="00065544">
              <w:rPr>
                <w:b/>
                <w:sz w:val="24"/>
                <w:szCs w:val="24"/>
                <w:lang w:val="nl-NL"/>
              </w:rPr>
              <w:t>Cơ quan, đơn vị tiếp nhận, giải quyết và trả kết quả:</w:t>
            </w:r>
            <w:r w:rsidRPr="00065544">
              <w:rPr>
                <w:sz w:val="24"/>
                <w:szCs w:val="24"/>
                <w:lang w:val="nl-NL"/>
              </w:rPr>
              <w:t xml:space="preserve"> Trung tâm Trợ giúp pháp lý nhà nước tỉnh Lạng Sơn. Địa chỉ: số 623, đường Bà Triệu, phường Đông Kinh, tỉnh Lạng Sơn; tổ chức hành nghề luật sư, tổ chức tư vấn pháp luật ký hợp đồng thực hiện trợ giúp pháp lý hoặc đăng ký tham gia trợ giúp pháp lý. </w:t>
            </w:r>
          </w:p>
        </w:tc>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D161D2" w14:textId="77777777" w:rsidR="00B8348D" w:rsidRPr="00065544" w:rsidRDefault="00B8348D" w:rsidP="00694CEF">
            <w:pPr>
              <w:spacing w:before="120" w:after="120"/>
              <w:jc w:val="both"/>
              <w:rPr>
                <w:sz w:val="24"/>
                <w:szCs w:val="24"/>
                <w:lang w:val="nl-NL"/>
              </w:rPr>
            </w:pPr>
          </w:p>
          <w:p w14:paraId="5CA28D8E" w14:textId="77777777" w:rsidR="00B8348D" w:rsidRPr="00065544" w:rsidRDefault="00B8348D" w:rsidP="00694CEF">
            <w:pPr>
              <w:spacing w:before="120" w:after="120"/>
              <w:jc w:val="both"/>
              <w:rPr>
                <w:sz w:val="24"/>
                <w:szCs w:val="24"/>
                <w:lang w:val="nl-NL"/>
              </w:rPr>
            </w:pPr>
          </w:p>
          <w:p w14:paraId="631D5960" w14:textId="77777777" w:rsidR="00B8348D" w:rsidRPr="00065544" w:rsidRDefault="00B8348D" w:rsidP="00694CEF">
            <w:pPr>
              <w:spacing w:before="120" w:after="120"/>
              <w:jc w:val="both"/>
              <w:rPr>
                <w:sz w:val="24"/>
                <w:szCs w:val="24"/>
                <w:lang w:val="nl-NL"/>
              </w:rPr>
            </w:pPr>
          </w:p>
          <w:p w14:paraId="77FA9B14" w14:textId="77777777" w:rsidR="00B8348D" w:rsidRPr="00065544" w:rsidRDefault="00B8348D" w:rsidP="00694CEF">
            <w:pPr>
              <w:spacing w:before="120" w:after="120"/>
              <w:jc w:val="both"/>
              <w:rPr>
                <w:sz w:val="24"/>
                <w:szCs w:val="24"/>
                <w:lang w:val="nl-NL"/>
              </w:rPr>
            </w:pPr>
          </w:p>
          <w:p w14:paraId="641C3AFC" w14:textId="77777777" w:rsidR="00B8348D" w:rsidRPr="00065544" w:rsidRDefault="00B8348D" w:rsidP="00694CEF">
            <w:pPr>
              <w:spacing w:before="120" w:after="120"/>
              <w:jc w:val="both"/>
              <w:rPr>
                <w:sz w:val="24"/>
                <w:szCs w:val="24"/>
                <w:lang w:val="nl-NL"/>
              </w:rPr>
            </w:pPr>
            <w:r w:rsidRPr="00065544">
              <w:rPr>
                <w:sz w:val="24"/>
                <w:szCs w:val="24"/>
                <w:lang w:val="nl-NL"/>
              </w:rPr>
              <w:t xml:space="preserve">- Tiếp nhận hồ sơ và trả kết quả trực tiếp; </w:t>
            </w:r>
          </w:p>
          <w:p w14:paraId="2A0FC4F8" w14:textId="77777777" w:rsidR="00B8348D" w:rsidRPr="00065544" w:rsidRDefault="00B8348D" w:rsidP="00694CEF">
            <w:pPr>
              <w:spacing w:before="120" w:after="120"/>
              <w:jc w:val="both"/>
              <w:rPr>
                <w:sz w:val="24"/>
                <w:szCs w:val="24"/>
                <w:lang w:val="da-DK"/>
              </w:rPr>
            </w:pPr>
            <w:r w:rsidRPr="00065544">
              <w:rPr>
                <w:spacing w:val="-4"/>
                <w:sz w:val="24"/>
                <w:szCs w:val="24"/>
                <w:lang w:val="nl-NL"/>
              </w:rPr>
              <w:t xml:space="preserve">- Tiếp nhận hồ sơ </w:t>
            </w:r>
            <w:r w:rsidRPr="00065544">
              <w:rPr>
                <w:sz w:val="24"/>
                <w:szCs w:val="24"/>
                <w:lang w:val="da-DK"/>
              </w:rPr>
              <w:t>và trả kết quả qua dịch vụ bưu chính công ích;</w:t>
            </w:r>
          </w:p>
          <w:p w14:paraId="3A041564" w14:textId="77777777" w:rsidR="00B8348D" w:rsidRPr="00065544" w:rsidRDefault="00B8348D" w:rsidP="00694CEF">
            <w:pPr>
              <w:spacing w:before="120" w:after="120"/>
              <w:jc w:val="both"/>
              <w:rPr>
                <w:sz w:val="24"/>
                <w:szCs w:val="24"/>
                <w:lang w:val="da-DK"/>
              </w:rPr>
            </w:pPr>
            <w:r w:rsidRPr="00065544">
              <w:rPr>
                <w:sz w:val="24"/>
                <w:szCs w:val="24"/>
                <w:lang w:val="da-DK"/>
              </w:rPr>
              <w:t>- Không t</w:t>
            </w:r>
            <w:r w:rsidRPr="00065544">
              <w:rPr>
                <w:sz w:val="24"/>
                <w:szCs w:val="24"/>
                <w:lang w:val="nl-NL"/>
              </w:rPr>
              <w:t>iếp nhận hồ sơ và trả kết quả qua dịch vụ công trực tuyến;</w:t>
            </w:r>
          </w:p>
          <w:p w14:paraId="49B5791D" w14:textId="77777777" w:rsidR="00B8348D" w:rsidRPr="00065544" w:rsidRDefault="00B8348D" w:rsidP="00694CEF">
            <w:pPr>
              <w:spacing w:before="120" w:after="120"/>
              <w:jc w:val="both"/>
              <w:rPr>
                <w:sz w:val="24"/>
                <w:szCs w:val="24"/>
                <w:lang w:val="da-DK"/>
              </w:rPr>
            </w:pPr>
            <w:r w:rsidRPr="00065544">
              <w:rPr>
                <w:sz w:val="24"/>
                <w:szCs w:val="24"/>
                <w:lang w:val="da-DK"/>
              </w:rPr>
              <w:t>- Không thực hiện tại Bộ phận Một cửa.</w:t>
            </w:r>
          </w:p>
          <w:p w14:paraId="79D89CCC" w14:textId="77777777" w:rsidR="00B8348D" w:rsidRPr="00065544" w:rsidRDefault="00B8348D" w:rsidP="007166E0">
            <w:pPr>
              <w:spacing w:before="120" w:after="120"/>
              <w:jc w:val="both"/>
              <w:rPr>
                <w:spacing w:val="-4"/>
                <w:sz w:val="24"/>
                <w:szCs w:val="24"/>
                <w:lang w:val="nl-NL"/>
              </w:rPr>
            </w:pPr>
          </w:p>
        </w:tc>
        <w:tc>
          <w:tcPr>
            <w:tcW w:w="56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859DCC" w14:textId="11E2AFA9" w:rsidR="00B8348D" w:rsidRPr="00065544" w:rsidRDefault="00B8348D" w:rsidP="00B8348D">
            <w:pPr>
              <w:spacing w:before="60" w:after="60"/>
              <w:jc w:val="both"/>
              <w:rPr>
                <w:sz w:val="24"/>
                <w:szCs w:val="24"/>
                <w:lang w:val="nl-NL"/>
              </w:rPr>
            </w:pPr>
            <w:r w:rsidRPr="00065544">
              <w:rPr>
                <w:sz w:val="24"/>
                <w:szCs w:val="24"/>
                <w:lang w:val="nl-NL"/>
              </w:rPr>
              <w:t>- Luật Trợ giúp pháp lý năm 2017;</w:t>
            </w:r>
          </w:p>
          <w:p w14:paraId="1E034CB7" w14:textId="71993C68" w:rsidR="00B8348D" w:rsidRPr="00065544" w:rsidRDefault="00B8348D" w:rsidP="00B8348D">
            <w:pPr>
              <w:spacing w:before="60" w:after="60"/>
              <w:jc w:val="both"/>
              <w:rPr>
                <w:i/>
                <w:sz w:val="24"/>
                <w:szCs w:val="24"/>
                <w:lang w:val="nl-NL"/>
              </w:rPr>
            </w:pPr>
            <w:r w:rsidRPr="00065544">
              <w:rPr>
                <w:i/>
                <w:sz w:val="24"/>
                <w:szCs w:val="24"/>
                <w:lang w:val="nl-NL"/>
              </w:rPr>
              <w:t>- Nghị quyết số 66.7/2025/NQ-CP ngày 15/11/2025 của Chính phủ quy định cắt giảm, đơn giản hóa thủ tục hành chính dựa trên dữ liệu</w:t>
            </w:r>
            <w:r w:rsidRPr="00065544">
              <w:rPr>
                <w:iCs/>
                <w:sz w:val="24"/>
                <w:szCs w:val="24"/>
                <w:lang w:val="nl-NL"/>
              </w:rPr>
              <w:t>;</w:t>
            </w:r>
          </w:p>
          <w:p w14:paraId="7FA2C565" w14:textId="542B08E0" w:rsidR="00B8348D" w:rsidRPr="00065544" w:rsidRDefault="00B8348D" w:rsidP="00B8348D">
            <w:pPr>
              <w:spacing w:before="60" w:after="60"/>
              <w:jc w:val="both"/>
              <w:rPr>
                <w:sz w:val="24"/>
                <w:szCs w:val="24"/>
                <w:lang w:val="nl-NL"/>
              </w:rPr>
            </w:pPr>
            <w:r w:rsidRPr="00065544">
              <w:rPr>
                <w:sz w:val="24"/>
                <w:szCs w:val="24"/>
                <w:lang w:val="nl-NL"/>
              </w:rPr>
              <w:t>- Thông tư số 08/2017/TT-BTP ngày 15/11/2017 của Bộ trưởng Bộ Tư pháp quy định chi tiết một số điều của Luật Trợ giúp pháp lý và hướng dẫn giấy tờ trong hoạt động trợ giúp pháp lý;</w:t>
            </w:r>
          </w:p>
          <w:p w14:paraId="227BA762" w14:textId="0F51E6BA" w:rsidR="00B8348D" w:rsidRPr="00065544" w:rsidRDefault="00B8348D" w:rsidP="00B8348D">
            <w:pPr>
              <w:spacing w:before="60" w:after="60"/>
              <w:jc w:val="both"/>
              <w:rPr>
                <w:sz w:val="24"/>
                <w:szCs w:val="24"/>
                <w:lang w:val="nl-NL"/>
              </w:rPr>
            </w:pPr>
            <w:r w:rsidRPr="00065544">
              <w:rPr>
                <w:sz w:val="24"/>
                <w:szCs w:val="24"/>
                <w:lang w:val="nl-NL"/>
              </w:rPr>
              <w:t>- Thông tư số 12/2018/TT-BTP ngày 28/8/2018 của Bộ trưởng Bộ Tư pháp hướng dẫn một số hoạt động nghiệp vụ trợ giúp pháp lý và quản lý chất lượng vụ việc trợ giúp pháp lý;</w:t>
            </w:r>
          </w:p>
          <w:p w14:paraId="7CD11F75" w14:textId="7F04B987" w:rsidR="00B8348D" w:rsidRPr="00065544" w:rsidRDefault="00B8348D" w:rsidP="00B8348D">
            <w:pPr>
              <w:spacing w:before="60" w:after="60"/>
              <w:jc w:val="both"/>
              <w:rPr>
                <w:sz w:val="24"/>
                <w:szCs w:val="24"/>
                <w:lang w:val="nl-NL"/>
              </w:rPr>
            </w:pPr>
            <w:r w:rsidRPr="00065544">
              <w:rPr>
                <w:sz w:val="24"/>
                <w:szCs w:val="24"/>
                <w:lang w:val="nl-NL"/>
              </w:rPr>
              <w:t>- Thông tư số 03/2021/TT-BTP ngày 25/5/2021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14:paraId="7DB0C8EE" w14:textId="186CB4D7" w:rsidR="00B8348D" w:rsidRPr="00065544" w:rsidRDefault="00B8348D" w:rsidP="00B8348D">
            <w:pPr>
              <w:spacing w:before="60" w:after="60"/>
              <w:jc w:val="both"/>
              <w:rPr>
                <w:sz w:val="24"/>
                <w:szCs w:val="24"/>
                <w:lang w:val="nl-NL"/>
              </w:rPr>
            </w:pPr>
            <w:r w:rsidRPr="00065544">
              <w:rPr>
                <w:sz w:val="24"/>
                <w:szCs w:val="24"/>
                <w:lang w:val="nl-NL"/>
              </w:rPr>
              <w:t xml:space="preserve">- Thông tư số 09/2022/TT-BTP ngày 30/12/2022 của Bộ trưởng Bộ Tư pháp bãi bỏ một số nội dung tại các Thông tư trong lĩnh vực trợ giúp pháp lý, hộ tịch do Bộ trưởng </w:t>
            </w:r>
            <w:r w:rsidRPr="00065544">
              <w:rPr>
                <w:sz w:val="24"/>
                <w:szCs w:val="24"/>
                <w:lang w:val="nl-NL"/>
              </w:rPr>
              <w:lastRenderedPageBreak/>
              <w:t>Bộ Tư pháp ban hành;</w:t>
            </w:r>
          </w:p>
          <w:p w14:paraId="02195537" w14:textId="5668CD55" w:rsidR="00B8348D" w:rsidRPr="00065544" w:rsidRDefault="00B8348D" w:rsidP="00B8348D">
            <w:pPr>
              <w:spacing w:before="60" w:after="60"/>
              <w:jc w:val="both"/>
              <w:rPr>
                <w:sz w:val="24"/>
                <w:szCs w:val="24"/>
                <w:lang w:val="nl-NL"/>
              </w:rPr>
            </w:pPr>
            <w:r w:rsidRPr="00065544">
              <w:rPr>
                <w:sz w:val="24"/>
                <w:szCs w:val="24"/>
                <w:lang w:val="nl-NL"/>
              </w:rPr>
              <w:t>- 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14:paraId="20E6D11C" w14:textId="5A21337C" w:rsidR="00B8348D" w:rsidRPr="00065544" w:rsidRDefault="00B8348D" w:rsidP="00B8348D">
            <w:pPr>
              <w:spacing w:before="60" w:after="60"/>
              <w:jc w:val="both"/>
              <w:rPr>
                <w:sz w:val="24"/>
                <w:szCs w:val="24"/>
                <w:lang w:val="nl-NL"/>
              </w:rPr>
            </w:pPr>
            <w:r w:rsidRPr="00065544">
              <w:rPr>
                <w:sz w:val="24"/>
                <w:szCs w:val="24"/>
                <w:lang w:val="nl-NL"/>
              </w:rPr>
              <w:t>- Thông tư số 08/2025/TT-BTP ngày 12/6/2025 của Bộ trưởng Bộ Tư pháp quy định về phân định thẩm quyền của chính quyền địa phương 02 cấp và phân cấp trong lĩnh vực quản lý nhà nước của Bộ Tư pháp;</w:t>
            </w:r>
          </w:p>
          <w:p w14:paraId="0ECB9747" w14:textId="586062A2" w:rsidR="00B8348D" w:rsidRPr="00065544" w:rsidRDefault="00B8348D" w:rsidP="00B8348D">
            <w:pPr>
              <w:spacing w:before="60" w:after="60"/>
              <w:jc w:val="both"/>
              <w:rPr>
                <w:sz w:val="24"/>
                <w:szCs w:val="24"/>
                <w:lang w:val="nl-NL"/>
              </w:rPr>
            </w:pPr>
            <w:r w:rsidRPr="00065544">
              <w:rPr>
                <w:sz w:val="24"/>
                <w:szCs w:val="24"/>
                <w:lang w:val="nl-NL"/>
              </w:rPr>
              <w:t>- Thông tư số 11/2025/TT-BTP ngày 25/6/2025 của Bộ trưởng Bộ Tư pháp sửa đổi, bổ sung, bãi bỏ môt số điều của các Thông tư thuộc lĩnh vực quản lý nhà nước của Bộ Tư pháp.</w:t>
            </w:r>
          </w:p>
        </w:tc>
      </w:tr>
    </w:tbl>
    <w:p w14:paraId="4021AB70" w14:textId="77777777" w:rsidR="00526009" w:rsidRPr="00065544" w:rsidRDefault="00526009" w:rsidP="00DC21DA">
      <w:pPr>
        <w:jc w:val="center"/>
        <w:rPr>
          <w:b/>
          <w:sz w:val="24"/>
          <w:szCs w:val="24"/>
          <w:lang w:val="nb-NO"/>
        </w:rPr>
      </w:pPr>
    </w:p>
    <w:p w14:paraId="66BACD4A" w14:textId="77777777" w:rsidR="00526009" w:rsidRPr="00065544" w:rsidRDefault="00526009" w:rsidP="00DC21DA">
      <w:pPr>
        <w:jc w:val="center"/>
        <w:rPr>
          <w:b/>
          <w:sz w:val="2"/>
          <w:lang w:val="nb-NO"/>
        </w:rPr>
      </w:pPr>
    </w:p>
    <w:p w14:paraId="2762756A" w14:textId="77777777" w:rsidR="00526009" w:rsidRPr="00065544" w:rsidRDefault="00526009" w:rsidP="00DC21DA">
      <w:pPr>
        <w:rPr>
          <w:b/>
        </w:rPr>
      </w:pPr>
      <w:r w:rsidRPr="00065544">
        <w:rPr>
          <w:noProof/>
        </w:rPr>
        <mc:AlternateContent>
          <mc:Choice Requires="wps">
            <w:drawing>
              <wp:anchor distT="0" distB="0" distL="114300" distR="114300" simplePos="0" relativeHeight="251657728" behindDoc="0" locked="0" layoutInCell="1" allowOverlap="1" wp14:anchorId="0C2A76AF" wp14:editId="5417C368">
                <wp:simplePos x="0" y="0"/>
                <wp:positionH relativeFrom="column">
                  <wp:posOffset>2962910</wp:posOffset>
                </wp:positionH>
                <wp:positionV relativeFrom="paragraph">
                  <wp:posOffset>59690</wp:posOffset>
                </wp:positionV>
                <wp:extent cx="3051175"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305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75F114"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pt,4.7pt" to="473.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" strokecolor="black [3213]"/>
            </w:pict>
          </mc:Fallback>
        </mc:AlternateContent>
      </w:r>
    </w:p>
    <w:sectPr w:rsidR="00526009" w:rsidRPr="00065544" w:rsidSect="005C52BD">
      <w:headerReference w:type="default" r:id="rId8"/>
      <w:footerReference w:type="even" r:id="rId9"/>
      <w:footerReference w:type="default" r:id="rId10"/>
      <w:footnotePr>
        <w:numFmt w:val="lowerRoman"/>
      </w:footnotePr>
      <w:pgSz w:w="16840" w:h="11907" w:orient="landscape" w:code="9"/>
      <w:pgMar w:top="993" w:right="907" w:bottom="567" w:left="1531" w:header="567" w:footer="720"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145E" w14:textId="77777777" w:rsidR="00CC4A11" w:rsidRDefault="00CC4A11">
      <w:r>
        <w:separator/>
      </w:r>
    </w:p>
  </w:endnote>
  <w:endnote w:type="continuationSeparator" w:id="0">
    <w:p w14:paraId="66070041" w14:textId="77777777" w:rsidR="00CC4A11" w:rsidRDefault="00CC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D7A4" w14:textId="77777777" w:rsidR="00774E34" w:rsidRDefault="00C56AF6" w:rsidP="008404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F9F91" w14:textId="77777777" w:rsidR="00774E34" w:rsidRDefault="00774E34" w:rsidP="008404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7819" w14:textId="77777777" w:rsidR="00774E34" w:rsidRDefault="00774E34" w:rsidP="0084046A">
    <w:pPr>
      <w:pStyle w:val="Footer"/>
      <w:framePr w:wrap="around" w:vAnchor="text" w:hAnchor="margin" w:xAlign="right" w:y="1"/>
      <w:rPr>
        <w:rStyle w:val="PageNumber"/>
      </w:rPr>
    </w:pPr>
  </w:p>
  <w:p w14:paraId="642C4C58" w14:textId="77777777" w:rsidR="00774E34" w:rsidRDefault="00774E34" w:rsidP="008404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680D" w14:textId="77777777" w:rsidR="00CC4A11" w:rsidRDefault="00CC4A11">
      <w:r>
        <w:separator/>
      </w:r>
    </w:p>
  </w:footnote>
  <w:footnote w:type="continuationSeparator" w:id="0">
    <w:p w14:paraId="004DB2C8" w14:textId="77777777" w:rsidR="00CC4A11" w:rsidRDefault="00CC4A11">
      <w:r>
        <w:continuationSeparator/>
      </w:r>
    </w:p>
  </w:footnote>
  <w:footnote w:id="1">
    <w:p w14:paraId="6AE13A6B" w14:textId="5488A97A" w:rsidR="00B8348D" w:rsidRDefault="00B8348D" w:rsidP="00526009">
      <w:pPr>
        <w:pStyle w:val="FootnoteText"/>
      </w:pPr>
      <w:r>
        <w:t xml:space="preserve">Ghi chú: </w:t>
      </w:r>
      <w:r>
        <w:rPr>
          <w:rStyle w:val="FootnoteReference"/>
        </w:rPr>
        <w:footnoteRef/>
      </w:r>
      <w:r>
        <w:t xml:space="preserve"> Phần chữ in nghiêng là văn bản sửa đổi, bổ sung.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738B" w14:textId="1646F1EF" w:rsidR="00774E34" w:rsidRPr="003F2766" w:rsidRDefault="00C56AF6">
    <w:pPr>
      <w:pStyle w:val="Header"/>
      <w:jc w:val="center"/>
      <w:rPr>
        <w:sz w:val="24"/>
      </w:rPr>
    </w:pPr>
    <w:r w:rsidRPr="003F2766">
      <w:rPr>
        <w:sz w:val="24"/>
      </w:rPr>
      <w:fldChar w:fldCharType="begin"/>
    </w:r>
    <w:r w:rsidRPr="003F2766">
      <w:rPr>
        <w:sz w:val="24"/>
      </w:rPr>
      <w:instrText xml:space="preserve"> PAGE   \* MERGEFORMAT </w:instrText>
    </w:r>
    <w:r w:rsidRPr="003F2766">
      <w:rPr>
        <w:sz w:val="24"/>
      </w:rPr>
      <w:fldChar w:fldCharType="separate"/>
    </w:r>
    <w:r w:rsidR="00021C1D">
      <w:rPr>
        <w:noProof/>
        <w:sz w:val="24"/>
      </w:rPr>
      <w:t>2</w:t>
    </w:r>
    <w:r w:rsidRPr="003F2766">
      <w:rPr>
        <w:noProof/>
        <w:sz w:val="24"/>
      </w:rPr>
      <w:fldChar w:fldCharType="end"/>
    </w:r>
  </w:p>
  <w:p w14:paraId="4B0E6CF1" w14:textId="77777777" w:rsidR="00774E34" w:rsidRDefault="00774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A12FF"/>
    <w:multiLevelType w:val="hybridMultilevel"/>
    <w:tmpl w:val="907A09B2"/>
    <w:lvl w:ilvl="0" w:tplc="975C32D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5346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AF6"/>
    <w:rsid w:val="00002F1C"/>
    <w:rsid w:val="0000596F"/>
    <w:rsid w:val="00010C45"/>
    <w:rsid w:val="00013565"/>
    <w:rsid w:val="00021C1D"/>
    <w:rsid w:val="00050757"/>
    <w:rsid w:val="00051384"/>
    <w:rsid w:val="000570A0"/>
    <w:rsid w:val="000640E9"/>
    <w:rsid w:val="00065544"/>
    <w:rsid w:val="0008478E"/>
    <w:rsid w:val="000A019B"/>
    <w:rsid w:val="000B45E7"/>
    <w:rsid w:val="000D2ABA"/>
    <w:rsid w:val="000D57A4"/>
    <w:rsid w:val="000F091D"/>
    <w:rsid w:val="000F5291"/>
    <w:rsid w:val="001201DE"/>
    <w:rsid w:val="00151AA4"/>
    <w:rsid w:val="00151DB8"/>
    <w:rsid w:val="00160FD5"/>
    <w:rsid w:val="00171478"/>
    <w:rsid w:val="001841EA"/>
    <w:rsid w:val="00187656"/>
    <w:rsid w:val="001A31D2"/>
    <w:rsid w:val="001A5165"/>
    <w:rsid w:val="001C2358"/>
    <w:rsid w:val="002019FF"/>
    <w:rsid w:val="00216935"/>
    <w:rsid w:val="00223220"/>
    <w:rsid w:val="00247DE6"/>
    <w:rsid w:val="00271C8C"/>
    <w:rsid w:val="002A04D3"/>
    <w:rsid w:val="002A76E7"/>
    <w:rsid w:val="002C75FE"/>
    <w:rsid w:val="002D1B27"/>
    <w:rsid w:val="002E4E79"/>
    <w:rsid w:val="00330631"/>
    <w:rsid w:val="00332336"/>
    <w:rsid w:val="00337C14"/>
    <w:rsid w:val="00352D35"/>
    <w:rsid w:val="003569C4"/>
    <w:rsid w:val="003637F6"/>
    <w:rsid w:val="00376F7F"/>
    <w:rsid w:val="003772B8"/>
    <w:rsid w:val="003A0790"/>
    <w:rsid w:val="003A5D59"/>
    <w:rsid w:val="003B2D87"/>
    <w:rsid w:val="003C3C20"/>
    <w:rsid w:val="003C4F45"/>
    <w:rsid w:val="003C59FB"/>
    <w:rsid w:val="003D622D"/>
    <w:rsid w:val="003E6091"/>
    <w:rsid w:val="003F0AD8"/>
    <w:rsid w:val="003F2006"/>
    <w:rsid w:val="00407D24"/>
    <w:rsid w:val="00432858"/>
    <w:rsid w:val="004405A8"/>
    <w:rsid w:val="00456996"/>
    <w:rsid w:val="00465D77"/>
    <w:rsid w:val="00481FDC"/>
    <w:rsid w:val="00496EAB"/>
    <w:rsid w:val="004A350B"/>
    <w:rsid w:val="004B5375"/>
    <w:rsid w:val="004C3CB5"/>
    <w:rsid w:val="004D5636"/>
    <w:rsid w:val="004E0A52"/>
    <w:rsid w:val="004E355A"/>
    <w:rsid w:val="004E6334"/>
    <w:rsid w:val="005221E3"/>
    <w:rsid w:val="00526009"/>
    <w:rsid w:val="00544F85"/>
    <w:rsid w:val="00550D1B"/>
    <w:rsid w:val="00563433"/>
    <w:rsid w:val="005A0864"/>
    <w:rsid w:val="005B04AA"/>
    <w:rsid w:val="005C639E"/>
    <w:rsid w:val="005E0D67"/>
    <w:rsid w:val="00603B23"/>
    <w:rsid w:val="00605E57"/>
    <w:rsid w:val="00626C40"/>
    <w:rsid w:val="00636450"/>
    <w:rsid w:val="00636F26"/>
    <w:rsid w:val="00644CE7"/>
    <w:rsid w:val="00674248"/>
    <w:rsid w:val="00681D4C"/>
    <w:rsid w:val="00686D7B"/>
    <w:rsid w:val="00695504"/>
    <w:rsid w:val="00696273"/>
    <w:rsid w:val="006A1C1E"/>
    <w:rsid w:val="006A52CB"/>
    <w:rsid w:val="006D5C2A"/>
    <w:rsid w:val="006D6F7D"/>
    <w:rsid w:val="006E6019"/>
    <w:rsid w:val="006F70A9"/>
    <w:rsid w:val="007051DA"/>
    <w:rsid w:val="00714EF8"/>
    <w:rsid w:val="007166E0"/>
    <w:rsid w:val="00727EDC"/>
    <w:rsid w:val="0076378F"/>
    <w:rsid w:val="00773FA2"/>
    <w:rsid w:val="00774931"/>
    <w:rsid w:val="00774E34"/>
    <w:rsid w:val="007838D9"/>
    <w:rsid w:val="00797D0C"/>
    <w:rsid w:val="007D50AD"/>
    <w:rsid w:val="007E2225"/>
    <w:rsid w:val="007F2E97"/>
    <w:rsid w:val="007F3AC1"/>
    <w:rsid w:val="00807AA7"/>
    <w:rsid w:val="00884E29"/>
    <w:rsid w:val="008B5B43"/>
    <w:rsid w:val="008D0A35"/>
    <w:rsid w:val="008E2E26"/>
    <w:rsid w:val="008F28FE"/>
    <w:rsid w:val="00914DAE"/>
    <w:rsid w:val="0091679C"/>
    <w:rsid w:val="00930374"/>
    <w:rsid w:val="00935DBA"/>
    <w:rsid w:val="0095035A"/>
    <w:rsid w:val="0095501C"/>
    <w:rsid w:val="009708F0"/>
    <w:rsid w:val="0097298D"/>
    <w:rsid w:val="00997348"/>
    <w:rsid w:val="009975D3"/>
    <w:rsid w:val="009A440D"/>
    <w:rsid w:val="009B7C20"/>
    <w:rsid w:val="009E4A77"/>
    <w:rsid w:val="00A024E2"/>
    <w:rsid w:val="00A032D7"/>
    <w:rsid w:val="00A15507"/>
    <w:rsid w:val="00A15519"/>
    <w:rsid w:val="00A5257B"/>
    <w:rsid w:val="00A63F49"/>
    <w:rsid w:val="00A724F9"/>
    <w:rsid w:val="00A844D4"/>
    <w:rsid w:val="00A865E9"/>
    <w:rsid w:val="00A97430"/>
    <w:rsid w:val="00AA1A11"/>
    <w:rsid w:val="00AB5268"/>
    <w:rsid w:val="00AC2911"/>
    <w:rsid w:val="00AD58F8"/>
    <w:rsid w:val="00B140D9"/>
    <w:rsid w:val="00B26D63"/>
    <w:rsid w:val="00B31E48"/>
    <w:rsid w:val="00B62418"/>
    <w:rsid w:val="00B8348D"/>
    <w:rsid w:val="00BA19BE"/>
    <w:rsid w:val="00BA5E71"/>
    <w:rsid w:val="00BB09E3"/>
    <w:rsid w:val="00BB5164"/>
    <w:rsid w:val="00BB5EE8"/>
    <w:rsid w:val="00BF2BD8"/>
    <w:rsid w:val="00BF49CC"/>
    <w:rsid w:val="00BF5F23"/>
    <w:rsid w:val="00C2026D"/>
    <w:rsid w:val="00C272B2"/>
    <w:rsid w:val="00C30787"/>
    <w:rsid w:val="00C32AAA"/>
    <w:rsid w:val="00C56AF6"/>
    <w:rsid w:val="00C60D61"/>
    <w:rsid w:val="00C622CE"/>
    <w:rsid w:val="00C731CA"/>
    <w:rsid w:val="00C86FD3"/>
    <w:rsid w:val="00C87711"/>
    <w:rsid w:val="00C91C0C"/>
    <w:rsid w:val="00CB37FA"/>
    <w:rsid w:val="00CC386F"/>
    <w:rsid w:val="00CC4A11"/>
    <w:rsid w:val="00CD3BC4"/>
    <w:rsid w:val="00CD7E23"/>
    <w:rsid w:val="00D133FE"/>
    <w:rsid w:val="00D1364B"/>
    <w:rsid w:val="00D142D3"/>
    <w:rsid w:val="00D17DE8"/>
    <w:rsid w:val="00D231D2"/>
    <w:rsid w:val="00D43D34"/>
    <w:rsid w:val="00D47F97"/>
    <w:rsid w:val="00D5143F"/>
    <w:rsid w:val="00D67A16"/>
    <w:rsid w:val="00DA2420"/>
    <w:rsid w:val="00DB7C35"/>
    <w:rsid w:val="00DC21DA"/>
    <w:rsid w:val="00DD3A97"/>
    <w:rsid w:val="00DD55B9"/>
    <w:rsid w:val="00DF16E4"/>
    <w:rsid w:val="00DF7C45"/>
    <w:rsid w:val="00E1423A"/>
    <w:rsid w:val="00E1608C"/>
    <w:rsid w:val="00E200DF"/>
    <w:rsid w:val="00E21D4F"/>
    <w:rsid w:val="00E43488"/>
    <w:rsid w:val="00E5779B"/>
    <w:rsid w:val="00E91B48"/>
    <w:rsid w:val="00E96950"/>
    <w:rsid w:val="00EA15D4"/>
    <w:rsid w:val="00EB43E1"/>
    <w:rsid w:val="00EB6783"/>
    <w:rsid w:val="00EC01FF"/>
    <w:rsid w:val="00EC1EE1"/>
    <w:rsid w:val="00ED5E43"/>
    <w:rsid w:val="00EE3070"/>
    <w:rsid w:val="00EE5423"/>
    <w:rsid w:val="00F06A6B"/>
    <w:rsid w:val="00F112FE"/>
    <w:rsid w:val="00F21442"/>
    <w:rsid w:val="00F87AE4"/>
    <w:rsid w:val="00F918AE"/>
    <w:rsid w:val="00F92050"/>
    <w:rsid w:val="00FA0199"/>
    <w:rsid w:val="00FB16C6"/>
    <w:rsid w:val="00FB2DFE"/>
    <w:rsid w:val="00FB6FA8"/>
    <w:rsid w:val="00FB71E0"/>
    <w:rsid w:val="00FC1C7B"/>
    <w:rsid w:val="00FE0AEA"/>
    <w:rsid w:val="00FF50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27B2"/>
  <w15:docId w15:val="{1340123D-B692-40F4-830A-32881085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F6"/>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6AF6"/>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56AF6"/>
    <w:rPr>
      <w:rFonts w:ascii="Times New Roman" w:eastAsia="Times New Roman" w:hAnsi="Times New Roman" w:cs="Times New Roman"/>
      <w:sz w:val="28"/>
      <w:szCs w:val="28"/>
      <w:lang w:val="x-none" w:eastAsia="x-none"/>
    </w:rPr>
  </w:style>
  <w:style w:type="character" w:styleId="PageNumber">
    <w:name w:val="page number"/>
    <w:basedOn w:val="DefaultParagraphFont"/>
    <w:rsid w:val="00C56AF6"/>
  </w:style>
  <w:style w:type="paragraph" w:styleId="Header">
    <w:name w:val="header"/>
    <w:basedOn w:val="Normal"/>
    <w:link w:val="HeaderChar"/>
    <w:uiPriority w:val="99"/>
    <w:rsid w:val="00C56AF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56AF6"/>
    <w:rPr>
      <w:rFonts w:ascii="Times New Roman" w:eastAsia="Times New Roman" w:hAnsi="Times New Roman" w:cs="Times New Roman"/>
      <w:sz w:val="28"/>
      <w:szCs w:val="28"/>
      <w:lang w:val="x-none" w:eastAsia="x-none"/>
    </w:rPr>
  </w:style>
  <w:style w:type="paragraph" w:styleId="ListParagraph">
    <w:name w:val="List Paragraph"/>
    <w:basedOn w:val="Normal"/>
    <w:uiPriority w:val="34"/>
    <w:qFormat/>
    <w:rsid w:val="00C56AF6"/>
    <w:pPr>
      <w:ind w:left="720"/>
      <w:contextualSpacing/>
    </w:pPr>
  </w:style>
  <w:style w:type="character" w:styleId="Hyperlink">
    <w:name w:val="Hyperlink"/>
    <w:rsid w:val="00EE5423"/>
    <w:rPr>
      <w:color w:val="0000FF"/>
      <w:u w:val="single"/>
    </w:rPr>
  </w:style>
  <w:style w:type="paragraph" w:styleId="BodyText">
    <w:name w:val="Body Text"/>
    <w:basedOn w:val="Normal"/>
    <w:link w:val="BodyTextChar"/>
    <w:uiPriority w:val="99"/>
    <w:unhideWhenUsed/>
    <w:rsid w:val="00376F7F"/>
    <w:pPr>
      <w:spacing w:after="60"/>
      <w:jc w:val="both"/>
    </w:pPr>
    <w:rPr>
      <w:sz w:val="24"/>
      <w:szCs w:val="24"/>
    </w:rPr>
  </w:style>
  <w:style w:type="character" w:customStyle="1" w:styleId="BodyTextChar">
    <w:name w:val="Body Text Char"/>
    <w:basedOn w:val="DefaultParagraphFont"/>
    <w:link w:val="BodyText"/>
    <w:uiPriority w:val="99"/>
    <w:rsid w:val="00376F7F"/>
    <w:rPr>
      <w:rFonts w:ascii="Times New Roman" w:eastAsia="Times New Roman" w:hAnsi="Times New Roman" w:cs="Times New Roman"/>
      <w:sz w:val="24"/>
      <w:szCs w:val="24"/>
      <w:lang w:val="en-US"/>
    </w:rPr>
  </w:style>
  <w:style w:type="character" w:customStyle="1" w:styleId="fontstyle01">
    <w:name w:val="fontstyle01"/>
    <w:basedOn w:val="DefaultParagraphFont"/>
    <w:rsid w:val="00C91C0C"/>
    <w:rPr>
      <w:rFonts w:ascii="TimesNewRomanPSMT" w:hAnsi="TimesNewRomanPSMT" w:hint="default"/>
      <w:b w:val="0"/>
      <w:bCs w:val="0"/>
      <w:i w:val="0"/>
      <w:iCs w:val="0"/>
      <w:color w:val="000000"/>
      <w:sz w:val="26"/>
      <w:szCs w:val="26"/>
    </w:rPr>
  </w:style>
  <w:style w:type="paragraph" w:styleId="FootnoteText">
    <w:name w:val="footnote text"/>
    <w:basedOn w:val="Normal"/>
    <w:link w:val="FootnoteTextChar"/>
    <w:uiPriority w:val="99"/>
    <w:semiHidden/>
    <w:unhideWhenUsed/>
    <w:rsid w:val="00A15519"/>
    <w:rPr>
      <w:sz w:val="20"/>
      <w:szCs w:val="20"/>
    </w:rPr>
  </w:style>
  <w:style w:type="character" w:customStyle="1" w:styleId="FootnoteTextChar">
    <w:name w:val="Footnote Text Char"/>
    <w:basedOn w:val="DefaultParagraphFont"/>
    <w:link w:val="FootnoteText"/>
    <w:uiPriority w:val="99"/>
    <w:semiHidden/>
    <w:rsid w:val="00A1551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519"/>
    <w:rPr>
      <w:vertAlign w:val="superscript"/>
    </w:rPr>
  </w:style>
  <w:style w:type="paragraph" w:styleId="BalloonText">
    <w:name w:val="Balloon Text"/>
    <w:basedOn w:val="Normal"/>
    <w:link w:val="BalloonTextChar"/>
    <w:uiPriority w:val="99"/>
    <w:semiHidden/>
    <w:unhideWhenUsed/>
    <w:rsid w:val="00603B23"/>
    <w:rPr>
      <w:rFonts w:ascii="Tahoma" w:hAnsi="Tahoma" w:cs="Tahoma"/>
      <w:sz w:val="16"/>
      <w:szCs w:val="16"/>
    </w:rPr>
  </w:style>
  <w:style w:type="character" w:customStyle="1" w:styleId="BalloonTextChar">
    <w:name w:val="Balloon Text Char"/>
    <w:basedOn w:val="DefaultParagraphFont"/>
    <w:link w:val="BalloonText"/>
    <w:uiPriority w:val="99"/>
    <w:semiHidden/>
    <w:rsid w:val="00603B2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6017">
      <w:bodyDiv w:val="1"/>
      <w:marLeft w:val="0"/>
      <w:marRight w:val="0"/>
      <w:marTop w:val="0"/>
      <w:marBottom w:val="0"/>
      <w:divBdr>
        <w:top w:val="none" w:sz="0" w:space="0" w:color="auto"/>
        <w:left w:val="none" w:sz="0" w:space="0" w:color="auto"/>
        <w:bottom w:val="none" w:sz="0" w:space="0" w:color="auto"/>
        <w:right w:val="none" w:sz="0" w:space="0" w:color="auto"/>
      </w:divBdr>
    </w:div>
    <w:div w:id="91902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A9DA9-7D65-4D70-9525-65D23457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ls vpubnd</cp:lastModifiedBy>
  <cp:revision>41</cp:revision>
  <dcterms:created xsi:type="dcterms:W3CDTF">2025-07-22T00:58:00Z</dcterms:created>
  <dcterms:modified xsi:type="dcterms:W3CDTF">2026-01-08T10:10:00Z</dcterms:modified>
</cp:coreProperties>
</file>